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00958" w14:paraId="24F8FD49" w14:textId="77777777" w:rsidTr="00345119">
        <w:tc>
          <w:tcPr>
            <w:tcW w:w="9576" w:type="dxa"/>
            <w:noWrap/>
          </w:tcPr>
          <w:p w14:paraId="7DEDC058" w14:textId="77777777" w:rsidR="008423E4" w:rsidRPr="0022177D" w:rsidRDefault="00567181" w:rsidP="00036FCF">
            <w:pPr>
              <w:pStyle w:val="Heading1"/>
            </w:pPr>
            <w:r w:rsidRPr="00631897">
              <w:t>BILL ANALYSIS</w:t>
            </w:r>
          </w:p>
        </w:tc>
      </w:tr>
    </w:tbl>
    <w:p w14:paraId="7F19A32C" w14:textId="77777777" w:rsidR="008423E4" w:rsidRPr="0022177D" w:rsidRDefault="008423E4" w:rsidP="00036FCF">
      <w:pPr>
        <w:jc w:val="center"/>
      </w:pPr>
    </w:p>
    <w:p w14:paraId="1595BE08" w14:textId="77777777" w:rsidR="008423E4" w:rsidRPr="00B31F0E" w:rsidRDefault="008423E4" w:rsidP="00036FCF"/>
    <w:p w14:paraId="2CA7F3E0" w14:textId="77777777" w:rsidR="008423E4" w:rsidRPr="00742794" w:rsidRDefault="008423E4" w:rsidP="00036FCF">
      <w:pPr>
        <w:tabs>
          <w:tab w:val="right" w:pos="9360"/>
        </w:tabs>
      </w:pPr>
    </w:p>
    <w:tbl>
      <w:tblPr>
        <w:tblW w:w="0" w:type="auto"/>
        <w:tblLayout w:type="fixed"/>
        <w:tblLook w:val="01E0" w:firstRow="1" w:lastRow="1" w:firstColumn="1" w:lastColumn="1" w:noHBand="0" w:noVBand="0"/>
      </w:tblPr>
      <w:tblGrid>
        <w:gridCol w:w="9576"/>
      </w:tblGrid>
      <w:tr w:rsidR="00200958" w14:paraId="39D0DCE3" w14:textId="77777777" w:rsidTr="00345119">
        <w:tc>
          <w:tcPr>
            <w:tcW w:w="9576" w:type="dxa"/>
          </w:tcPr>
          <w:p w14:paraId="4243B057" w14:textId="2C65F56D" w:rsidR="008423E4" w:rsidRPr="00861995" w:rsidRDefault="00567181" w:rsidP="00036FCF">
            <w:pPr>
              <w:jc w:val="right"/>
            </w:pPr>
            <w:r>
              <w:t>C.S.S.B. 34</w:t>
            </w:r>
          </w:p>
        </w:tc>
      </w:tr>
      <w:tr w:rsidR="00200958" w14:paraId="299BD99B" w14:textId="77777777" w:rsidTr="00345119">
        <w:tc>
          <w:tcPr>
            <w:tcW w:w="9576" w:type="dxa"/>
          </w:tcPr>
          <w:p w14:paraId="1CB6BDCB" w14:textId="60A7FD81" w:rsidR="008423E4" w:rsidRPr="00861995" w:rsidRDefault="00567181" w:rsidP="00036FCF">
            <w:pPr>
              <w:jc w:val="right"/>
            </w:pPr>
            <w:r>
              <w:t xml:space="preserve">By: </w:t>
            </w:r>
            <w:r w:rsidR="00FA0695">
              <w:t>Sparks</w:t>
            </w:r>
          </w:p>
        </w:tc>
      </w:tr>
      <w:tr w:rsidR="00200958" w14:paraId="734DCD42" w14:textId="77777777" w:rsidTr="00345119">
        <w:tc>
          <w:tcPr>
            <w:tcW w:w="9576" w:type="dxa"/>
          </w:tcPr>
          <w:p w14:paraId="5AF7E660" w14:textId="571E76F3" w:rsidR="008423E4" w:rsidRPr="00861995" w:rsidRDefault="00567181" w:rsidP="00036FCF">
            <w:pPr>
              <w:jc w:val="right"/>
            </w:pPr>
            <w:r>
              <w:t>State Affairs</w:t>
            </w:r>
          </w:p>
        </w:tc>
      </w:tr>
      <w:tr w:rsidR="00200958" w14:paraId="4374E1D7" w14:textId="77777777" w:rsidTr="00345119">
        <w:tc>
          <w:tcPr>
            <w:tcW w:w="9576" w:type="dxa"/>
          </w:tcPr>
          <w:p w14:paraId="0AC85BC2" w14:textId="5372487C" w:rsidR="008423E4" w:rsidRDefault="00567181" w:rsidP="00036FCF">
            <w:pPr>
              <w:jc w:val="right"/>
            </w:pPr>
            <w:r>
              <w:t>Committee Report (Substituted)</w:t>
            </w:r>
          </w:p>
        </w:tc>
      </w:tr>
    </w:tbl>
    <w:p w14:paraId="7608D011" w14:textId="77777777" w:rsidR="008423E4" w:rsidRDefault="008423E4" w:rsidP="00036FCF">
      <w:pPr>
        <w:tabs>
          <w:tab w:val="right" w:pos="9360"/>
        </w:tabs>
      </w:pPr>
    </w:p>
    <w:p w14:paraId="4B2309A5" w14:textId="77777777" w:rsidR="008423E4" w:rsidRDefault="008423E4" w:rsidP="00036FCF"/>
    <w:p w14:paraId="1A35E752" w14:textId="77777777" w:rsidR="008423E4" w:rsidRDefault="008423E4" w:rsidP="00036FCF"/>
    <w:tbl>
      <w:tblPr>
        <w:tblW w:w="0" w:type="auto"/>
        <w:tblCellMar>
          <w:left w:w="115" w:type="dxa"/>
          <w:right w:w="115" w:type="dxa"/>
        </w:tblCellMar>
        <w:tblLook w:val="01E0" w:firstRow="1" w:lastRow="1" w:firstColumn="1" w:lastColumn="1" w:noHBand="0" w:noVBand="0"/>
      </w:tblPr>
      <w:tblGrid>
        <w:gridCol w:w="9360"/>
      </w:tblGrid>
      <w:tr w:rsidR="00200958" w14:paraId="29D73A16" w14:textId="77777777" w:rsidTr="001A6C7A">
        <w:tc>
          <w:tcPr>
            <w:tcW w:w="9360" w:type="dxa"/>
          </w:tcPr>
          <w:p w14:paraId="20F7E93E" w14:textId="77777777" w:rsidR="008423E4" w:rsidRPr="00A8133F" w:rsidRDefault="00567181" w:rsidP="00036FCF">
            <w:pPr>
              <w:rPr>
                <w:b/>
              </w:rPr>
            </w:pPr>
            <w:r w:rsidRPr="009C1E9A">
              <w:rPr>
                <w:b/>
                <w:u w:val="single"/>
              </w:rPr>
              <w:t>BACKGROUND AND PURPOSE</w:t>
            </w:r>
            <w:r>
              <w:rPr>
                <w:b/>
              </w:rPr>
              <w:t xml:space="preserve"> </w:t>
            </w:r>
          </w:p>
          <w:p w14:paraId="61BBA8B1" w14:textId="77777777" w:rsidR="008423E4" w:rsidRDefault="008423E4" w:rsidP="00036FCF"/>
          <w:p w14:paraId="3AEC0CAE" w14:textId="2BA07151" w:rsidR="004156EC" w:rsidRDefault="00567181" w:rsidP="00036FCF">
            <w:pPr>
              <w:pStyle w:val="Header"/>
              <w:tabs>
                <w:tab w:val="clear" w:pos="4320"/>
                <w:tab w:val="clear" w:pos="8640"/>
              </w:tabs>
              <w:jc w:val="both"/>
            </w:pPr>
            <w:r w:rsidRPr="00911A02">
              <w:t xml:space="preserve">On May 1, 2024, the Texas House Investigative Committee on Panhandle Wildfires published its interim report regarding the 2024 panhandle wildfires, which were the largest in Texas history and burned over one million acres, destroying ranches, livestock, and homes. According to the report, over the past two decades, the magnitude and intensity of wildfires have been growing statewide, with longer fire seasons and increasingly destructive events. The </w:t>
            </w:r>
            <w:r w:rsidR="006C271C">
              <w:t>i</w:t>
            </w:r>
            <w:r w:rsidRPr="00911A02">
              <w:t xml:space="preserve">nvestigative </w:t>
            </w:r>
            <w:r w:rsidR="006C271C">
              <w:t>c</w:t>
            </w:r>
            <w:r w:rsidRPr="00911A02">
              <w:t>ommittee examined the factors contributing to the recent fires and highlighted challenges facing the Texas Rural Volunteer Fire Department Assistance Program due to underfunding. The investigative committee reported that, with an annual cap of $30 million and grant requests often exceeding $43 million, the program faces a $22 million shortfall, leaving fire departments with only partial funding for critical equipment. The investigative committee reported that rising wildfire frequency is part</w:t>
            </w:r>
            <w:r w:rsidRPr="00911A02">
              <w:t xml:space="preserve">ially driven by factors like aging utility poles and safety lapses at oil and gas well sites, where exposed wiring and electrical equipment pose ignition risks, and that among fires with identified causes, wildfires started by power lines have been among the most destructive in the region between 2000 and 2024, causing more than 1,300 fires that burned more than 1.4 million acres. </w:t>
            </w:r>
            <w:r w:rsidR="00036FCF">
              <w:t>C.S.</w:t>
            </w:r>
            <w:r w:rsidRPr="00911A02">
              <w:t>S.B. 34 aims to better prepare the state for ongoing wildfire threats through several key measures by requiring the Texas A&amp;</w:t>
            </w:r>
            <w:r w:rsidRPr="00911A02">
              <w:t>M Forest Service to create and maintain a statewide database of firefighting equipment, which will be accessible to all fire departments and updated annually. The bill also increases the funding cap for the Rural Volunteer Fire Department Assistance Fund from $30 million to $40 million, with 10 percent of the funds designated for high-risk wildfire areas. Additionally, an appointed Interoperability Council will develop a strategic plan to improve emergency communication equipment interoperability between lo</w:t>
            </w:r>
            <w:r w:rsidRPr="00911A02">
              <w:t xml:space="preserve">cal, state, and federal agencies. The bill clarifies a memorandum of understanding that requires the Railroad Commission </w:t>
            </w:r>
            <w:r w:rsidR="005E0CD0">
              <w:t xml:space="preserve">of Texas </w:t>
            </w:r>
            <w:r w:rsidRPr="00911A02">
              <w:t>to notify the Public Utility Commission</w:t>
            </w:r>
            <w:r w:rsidR="005E0CD0">
              <w:t xml:space="preserve"> of Texas</w:t>
            </w:r>
            <w:r w:rsidRPr="00911A02">
              <w:t xml:space="preserve"> about concerning situations at energy and electricity facilities.</w:t>
            </w:r>
          </w:p>
          <w:p w14:paraId="7365F790" w14:textId="77777777" w:rsidR="008423E4" w:rsidRPr="00E26B13" w:rsidRDefault="008423E4" w:rsidP="00036FCF">
            <w:pPr>
              <w:rPr>
                <w:b/>
              </w:rPr>
            </w:pPr>
          </w:p>
        </w:tc>
      </w:tr>
      <w:tr w:rsidR="00200958" w14:paraId="6C2F9A55" w14:textId="77777777" w:rsidTr="001A6C7A">
        <w:tc>
          <w:tcPr>
            <w:tcW w:w="9360" w:type="dxa"/>
          </w:tcPr>
          <w:p w14:paraId="40DC31B0" w14:textId="77777777" w:rsidR="0017725B" w:rsidRDefault="00567181" w:rsidP="00036FCF">
            <w:pPr>
              <w:rPr>
                <w:b/>
                <w:u w:val="single"/>
              </w:rPr>
            </w:pPr>
            <w:r>
              <w:rPr>
                <w:b/>
                <w:u w:val="single"/>
              </w:rPr>
              <w:t>CRIMINAL JUSTICE IMPACT</w:t>
            </w:r>
          </w:p>
          <w:p w14:paraId="5A6B02A7" w14:textId="77777777" w:rsidR="0017725B" w:rsidRDefault="0017725B" w:rsidP="00036FCF">
            <w:pPr>
              <w:rPr>
                <w:b/>
                <w:u w:val="single"/>
              </w:rPr>
            </w:pPr>
          </w:p>
          <w:p w14:paraId="634CB56E" w14:textId="10D92617" w:rsidR="00FB586C" w:rsidRPr="00FB586C" w:rsidRDefault="00567181" w:rsidP="00036FC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8360A23" w14:textId="77777777" w:rsidR="0017725B" w:rsidRPr="0017725B" w:rsidRDefault="0017725B" w:rsidP="00036FCF">
            <w:pPr>
              <w:rPr>
                <w:b/>
                <w:u w:val="single"/>
              </w:rPr>
            </w:pPr>
          </w:p>
        </w:tc>
      </w:tr>
      <w:tr w:rsidR="00200958" w14:paraId="3F91FA96" w14:textId="77777777" w:rsidTr="001A6C7A">
        <w:tc>
          <w:tcPr>
            <w:tcW w:w="9360" w:type="dxa"/>
          </w:tcPr>
          <w:p w14:paraId="7940A2DD" w14:textId="77777777" w:rsidR="008423E4" w:rsidRPr="00A8133F" w:rsidRDefault="00567181" w:rsidP="00036FCF">
            <w:pPr>
              <w:rPr>
                <w:b/>
              </w:rPr>
            </w:pPr>
            <w:r w:rsidRPr="009C1E9A">
              <w:rPr>
                <w:b/>
                <w:u w:val="single"/>
              </w:rPr>
              <w:t>RULEMAKING AUTHORITY</w:t>
            </w:r>
            <w:r>
              <w:rPr>
                <w:b/>
              </w:rPr>
              <w:t xml:space="preserve"> </w:t>
            </w:r>
          </w:p>
          <w:p w14:paraId="3FB4FF62" w14:textId="77777777" w:rsidR="008423E4" w:rsidRDefault="008423E4" w:rsidP="00036FCF"/>
          <w:p w14:paraId="4C01BF0B" w14:textId="7A0AE634" w:rsidR="00FB586C" w:rsidRDefault="00567181" w:rsidP="00036FC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DF3DDD4" w14:textId="61D4858B" w:rsidR="008423E4" w:rsidRPr="00E21FDC" w:rsidRDefault="008423E4" w:rsidP="00036FCF">
            <w:pPr>
              <w:rPr>
                <w:b/>
              </w:rPr>
            </w:pPr>
          </w:p>
        </w:tc>
      </w:tr>
      <w:tr w:rsidR="00200958" w14:paraId="4A0F7C9A" w14:textId="77777777" w:rsidTr="001A6C7A">
        <w:tc>
          <w:tcPr>
            <w:tcW w:w="9360" w:type="dxa"/>
          </w:tcPr>
          <w:p w14:paraId="5E472DF9" w14:textId="77777777" w:rsidR="008423E4" w:rsidRPr="00A8133F" w:rsidRDefault="00567181" w:rsidP="00036FCF">
            <w:pPr>
              <w:rPr>
                <w:b/>
              </w:rPr>
            </w:pPr>
            <w:r w:rsidRPr="009C1E9A">
              <w:rPr>
                <w:b/>
                <w:u w:val="single"/>
              </w:rPr>
              <w:t>ANALYSIS</w:t>
            </w:r>
            <w:r>
              <w:rPr>
                <w:b/>
              </w:rPr>
              <w:t xml:space="preserve"> </w:t>
            </w:r>
          </w:p>
          <w:p w14:paraId="6BBB8F5B" w14:textId="77777777" w:rsidR="008423E4" w:rsidRDefault="008423E4" w:rsidP="00036FCF"/>
          <w:p w14:paraId="2360562B" w14:textId="6D14BB88" w:rsidR="001249FF" w:rsidRDefault="00567181" w:rsidP="00036FCF">
            <w:pPr>
              <w:pStyle w:val="Header"/>
              <w:jc w:val="both"/>
            </w:pPr>
            <w:r>
              <w:t>C.S.</w:t>
            </w:r>
            <w:r w:rsidR="00FC23F3">
              <w:t xml:space="preserve">S.B. </w:t>
            </w:r>
            <w:r w:rsidR="003944BF">
              <w:t>34 requires</w:t>
            </w:r>
            <w:r>
              <w:t xml:space="preserve"> the </w:t>
            </w:r>
            <w:r w:rsidRPr="001249FF">
              <w:t>Texas A&amp;M Forest Service</w:t>
            </w:r>
            <w:r>
              <w:t xml:space="preserve"> and </w:t>
            </w:r>
            <w:r w:rsidRPr="001249FF">
              <w:t xml:space="preserve">West Texas A&amp;M </w:t>
            </w:r>
            <w:r w:rsidRPr="001249FF">
              <w:t>University</w:t>
            </w:r>
            <w:r>
              <w:t xml:space="preserve"> to jointly conduct a study to determine the status and condition of fuel loading in wildfire risk zones in </w:t>
            </w:r>
            <w:r w:rsidR="003944BF">
              <w:t>Texas</w:t>
            </w:r>
            <w:r>
              <w:t xml:space="preserve"> and the corresponding risk of wildfire to the residents, homes, businesses, and ecology of </w:t>
            </w:r>
            <w:r w:rsidR="003944BF">
              <w:t>Texas</w:t>
            </w:r>
            <w:r>
              <w:t>. The bill requires the</w:t>
            </w:r>
            <w:r w:rsidR="0000059D">
              <w:t xml:space="preserve"> forest</w:t>
            </w:r>
            <w:r>
              <w:t xml:space="preserve"> service and the university to do the following in conducting the study:</w:t>
            </w:r>
          </w:p>
          <w:p w14:paraId="5900839D" w14:textId="05F81A1C" w:rsidR="001249FF" w:rsidRDefault="00567181" w:rsidP="00036FCF">
            <w:pPr>
              <w:pStyle w:val="Header"/>
              <w:numPr>
                <w:ilvl w:val="0"/>
                <w:numId w:val="3"/>
              </w:numPr>
              <w:jc w:val="both"/>
            </w:pPr>
            <w:r>
              <w:t>establish wildfire risk zones based on fuel loading</w:t>
            </w:r>
            <w:r w:rsidR="006F6571">
              <w:t xml:space="preserve">, defined by the bill as </w:t>
            </w:r>
            <w:r w:rsidR="006F6571" w:rsidRPr="006F6571">
              <w:t>the amount of combustible material in a defined space expressed quantitatively in terms of weight of fuel per unit area</w:t>
            </w:r>
            <w:r w:rsidR="006F6571">
              <w:t>,</w:t>
            </w:r>
            <w:r>
              <w:t xml:space="preserve"> and the risk of wildfire to the residents, homes, businesses, and ecology of </w:t>
            </w:r>
            <w:r w:rsidR="003944BF">
              <w:t>Texas</w:t>
            </w:r>
            <w:r>
              <w:t xml:space="preserve"> within geographic areas defined by the</w:t>
            </w:r>
            <w:r w:rsidR="00260B37">
              <w:t xml:space="preserve"> forest</w:t>
            </w:r>
            <w:r>
              <w:t xml:space="preserve"> service; and</w:t>
            </w:r>
          </w:p>
          <w:p w14:paraId="5CC8C260" w14:textId="0197A364" w:rsidR="001249FF" w:rsidRDefault="00567181" w:rsidP="00036FCF">
            <w:pPr>
              <w:pStyle w:val="Header"/>
              <w:numPr>
                <w:ilvl w:val="0"/>
                <w:numId w:val="3"/>
              </w:numPr>
              <w:jc w:val="both"/>
            </w:pPr>
            <w:r>
              <w:t>solicit and consider information from the Department of Public Safety, the Department of Agriculture, including the Prescribed Burning Board, the Texas Division of Emergency Management, the Parks and Wildlife Department, the Texas Commission on Environmental Quality, the State Soil and Water Conservation Board, the comptroller of public accounts</w:t>
            </w:r>
            <w:r w:rsidR="000061D5">
              <w:t>,</w:t>
            </w:r>
            <w:r>
              <w:t xml:space="preserve"> and other natural resource representatives as necessary.</w:t>
            </w:r>
          </w:p>
          <w:p w14:paraId="5176D416" w14:textId="776387BF" w:rsidR="001249FF" w:rsidRDefault="00567181" w:rsidP="00036FCF">
            <w:pPr>
              <w:pStyle w:val="Header"/>
              <w:jc w:val="both"/>
            </w:pPr>
            <w:r>
              <w:t>The bill requires the study to do the following:</w:t>
            </w:r>
          </w:p>
          <w:p w14:paraId="35B6FB41" w14:textId="647D3165" w:rsidR="001249FF" w:rsidRDefault="00567181" w:rsidP="00036FCF">
            <w:pPr>
              <w:pStyle w:val="Header"/>
              <w:numPr>
                <w:ilvl w:val="0"/>
                <w:numId w:val="2"/>
              </w:numPr>
              <w:jc w:val="both"/>
            </w:pPr>
            <w:r>
              <w:t>for each wildfire risk zone, consider</w:t>
            </w:r>
            <w:r w:rsidR="00F56910">
              <w:t xml:space="preserve"> </w:t>
            </w:r>
            <w:r w:rsidR="005152BA">
              <w:t>the following</w:t>
            </w:r>
            <w:r>
              <w:t>:</w:t>
            </w:r>
          </w:p>
          <w:p w14:paraId="54587197" w14:textId="44576E42" w:rsidR="001249FF" w:rsidRDefault="00567181" w:rsidP="00036FCF">
            <w:pPr>
              <w:pStyle w:val="Header"/>
              <w:numPr>
                <w:ilvl w:val="1"/>
                <w:numId w:val="2"/>
              </w:numPr>
              <w:jc w:val="both"/>
            </w:pPr>
            <w:r>
              <w:t>the risk that fuel loading poses;</w:t>
            </w:r>
          </w:p>
          <w:p w14:paraId="0F8E8322" w14:textId="692DC50C" w:rsidR="001249FF" w:rsidRDefault="00567181" w:rsidP="00036FCF">
            <w:pPr>
              <w:pStyle w:val="Header"/>
              <w:numPr>
                <w:ilvl w:val="1"/>
                <w:numId w:val="2"/>
              </w:numPr>
              <w:jc w:val="both"/>
            </w:pPr>
            <w:r>
              <w:t>the projected loss of life, property, and natural resources should a wildfire occur in the zone;</w:t>
            </w:r>
          </w:p>
          <w:p w14:paraId="00BD3332" w14:textId="586C18DF" w:rsidR="001249FF" w:rsidRDefault="00567181" w:rsidP="00036FCF">
            <w:pPr>
              <w:pStyle w:val="Header"/>
              <w:numPr>
                <w:ilvl w:val="1"/>
                <w:numId w:val="2"/>
              </w:numPr>
              <w:jc w:val="both"/>
            </w:pPr>
            <w:r>
              <w:t>the financial impact of costs associated with reconstruction in the zone after a wildfire, potential loss of production in the natural resource and agricultural industries in the zone after a wildfire, and fuel loading mitigation and asset hardening in the zone; and</w:t>
            </w:r>
          </w:p>
          <w:p w14:paraId="42202FCD" w14:textId="21ACC5B8" w:rsidR="001249FF" w:rsidRDefault="00567181" w:rsidP="00036FCF">
            <w:pPr>
              <w:pStyle w:val="Header"/>
              <w:numPr>
                <w:ilvl w:val="1"/>
                <w:numId w:val="2"/>
              </w:numPr>
              <w:jc w:val="both"/>
            </w:pPr>
            <w:r>
              <w:t>whether the money invested in fuel loading mitigation in the zone exceeds or is less than the value of property protected by the investment and the amount of the excess or shortage;</w:t>
            </w:r>
          </w:p>
          <w:p w14:paraId="2B3BF45B" w14:textId="357D3CFE" w:rsidR="001249FF" w:rsidRDefault="00567181" w:rsidP="00036FCF">
            <w:pPr>
              <w:pStyle w:val="Header"/>
              <w:numPr>
                <w:ilvl w:val="0"/>
                <w:numId w:val="2"/>
              </w:numPr>
              <w:jc w:val="both"/>
            </w:pPr>
            <w:r>
              <w:t xml:space="preserve">assess the overall economic benefits to </w:t>
            </w:r>
            <w:r w:rsidR="003851BB">
              <w:t>T</w:t>
            </w:r>
            <w:r>
              <w:t>e</w:t>
            </w:r>
            <w:r w:rsidR="003851BB">
              <w:t>xas</w:t>
            </w:r>
            <w:r>
              <w:t xml:space="preserve"> of prescribed burning, fuel loading control for wildfire prevention, and public investment in fuel loading reduction projects; and</w:t>
            </w:r>
          </w:p>
          <w:p w14:paraId="4924F153" w14:textId="77777777" w:rsidR="001249FF" w:rsidRDefault="00567181" w:rsidP="00036FCF">
            <w:pPr>
              <w:pStyle w:val="Header"/>
              <w:numPr>
                <w:ilvl w:val="0"/>
                <w:numId w:val="2"/>
              </w:numPr>
              <w:jc w:val="both"/>
            </w:pPr>
            <w:r>
              <w:t>recommend changes to existing law to ensure that public and private natural resource managers have the authority and ability to appropriately mitigate fuel loading risks in each established risk zone.</w:t>
            </w:r>
          </w:p>
          <w:p w14:paraId="1B34E287" w14:textId="77777777" w:rsidR="001249FF" w:rsidRDefault="001249FF" w:rsidP="00036FCF">
            <w:pPr>
              <w:pStyle w:val="Header"/>
              <w:jc w:val="both"/>
            </w:pPr>
          </w:p>
          <w:p w14:paraId="02524DEA" w14:textId="2099A9E7" w:rsidR="001249FF" w:rsidRDefault="00567181" w:rsidP="00036FCF">
            <w:pPr>
              <w:pStyle w:val="Header"/>
              <w:jc w:val="both"/>
            </w:pPr>
            <w:r>
              <w:t xml:space="preserve">C.S.S.B. 34 requires the </w:t>
            </w:r>
            <w:r w:rsidR="00260B37">
              <w:t xml:space="preserve">forest </w:t>
            </w:r>
            <w:r>
              <w:t xml:space="preserve">service and </w:t>
            </w:r>
            <w:r w:rsidR="001346AB">
              <w:t>the u</w:t>
            </w:r>
            <w:r>
              <w:t xml:space="preserve">niversity to submit to the governor, the lieutenant governor, the speaker of the house of representatives, and each standing committee of the legislature with primary jurisdiction over the </w:t>
            </w:r>
            <w:r w:rsidR="00B9497C">
              <w:t>f</w:t>
            </w:r>
            <w:r w:rsidR="005B3574">
              <w:t xml:space="preserve">orest </w:t>
            </w:r>
            <w:r w:rsidR="00B9497C">
              <w:t>s</w:t>
            </w:r>
            <w:r>
              <w:t xml:space="preserve">ervice or </w:t>
            </w:r>
            <w:r w:rsidR="00B9497C">
              <w:t>u</w:t>
            </w:r>
            <w:r>
              <w:t>niversity or another state agency from which information is solicited</w:t>
            </w:r>
            <w:r w:rsidR="005B3574">
              <w:t xml:space="preserve"> under these provisions</w:t>
            </w:r>
            <w:r>
              <w:t xml:space="preserve"> a written report that includes a summary of the study and any legislative recommendations based on the study</w:t>
            </w:r>
            <w:r w:rsidR="006F6571">
              <w:t xml:space="preserve"> n</w:t>
            </w:r>
            <w:r w:rsidR="006F6571" w:rsidRPr="006F6571">
              <w:t>ot later than December 1, 2026</w:t>
            </w:r>
            <w:r>
              <w:t>.</w:t>
            </w:r>
            <w:r w:rsidR="006F6571">
              <w:t xml:space="preserve"> These provisions</w:t>
            </w:r>
            <w:r w:rsidR="005B3574">
              <w:t xml:space="preserve"> relating to the </w:t>
            </w:r>
            <w:r w:rsidR="00B9497C">
              <w:t>study</w:t>
            </w:r>
            <w:r w:rsidR="006F6571">
              <w:t xml:space="preserve"> </w:t>
            </w:r>
            <w:r>
              <w:t>expire May 1, 2027.</w:t>
            </w:r>
          </w:p>
          <w:p w14:paraId="0B7E7654" w14:textId="77777777" w:rsidR="001249FF" w:rsidRDefault="001249FF" w:rsidP="00036FCF">
            <w:pPr>
              <w:pStyle w:val="Header"/>
              <w:jc w:val="both"/>
            </w:pPr>
          </w:p>
          <w:p w14:paraId="0AA03906" w14:textId="79939C00" w:rsidR="00FC23F3" w:rsidRDefault="00567181" w:rsidP="00036FCF">
            <w:pPr>
              <w:pStyle w:val="Header"/>
              <w:jc w:val="both"/>
            </w:pPr>
            <w:r>
              <w:t>C.S</w:t>
            </w:r>
            <w:r w:rsidR="00DE1655">
              <w:t>.</w:t>
            </w:r>
            <w:r w:rsidR="001249FF">
              <w:t xml:space="preserve">S.B. 34 </w:t>
            </w:r>
            <w:r>
              <w:t>amends the Education Code to require the Texas A&amp;M Forest Service to create and maintain a comprehensive database that shows in real time the statewide inventory of firefighting equipment available for use in responding to wildfires that must do the following:</w:t>
            </w:r>
          </w:p>
          <w:p w14:paraId="1B8EE1A3" w14:textId="4F0AF9DB" w:rsidR="00FC23F3" w:rsidRDefault="00567181" w:rsidP="00036FCF">
            <w:pPr>
              <w:pStyle w:val="Header"/>
              <w:numPr>
                <w:ilvl w:val="0"/>
                <w:numId w:val="1"/>
              </w:numPr>
              <w:jc w:val="both"/>
            </w:pPr>
            <w:r>
              <w:t>include a description of the type of firefighting equipment each fire department</w:t>
            </w:r>
            <w:r w:rsidR="003944BF">
              <w:t xml:space="preserve"> in Texas</w:t>
            </w:r>
            <w:r>
              <w:t xml:space="preserve"> has available for use in responding to wildfires;</w:t>
            </w:r>
          </w:p>
          <w:p w14:paraId="7CE2B09A" w14:textId="4BFB64DE" w:rsidR="00FC23F3" w:rsidRDefault="00567181" w:rsidP="00036FCF">
            <w:pPr>
              <w:pStyle w:val="Header"/>
              <w:numPr>
                <w:ilvl w:val="0"/>
                <w:numId w:val="1"/>
              </w:numPr>
              <w:jc w:val="both"/>
            </w:pPr>
            <w:r>
              <w:t>include contact information for the fire department with the equipment;</w:t>
            </w:r>
          </w:p>
          <w:p w14:paraId="0AFE03F8" w14:textId="06597F4E" w:rsidR="00FC23F3" w:rsidRDefault="00567181" w:rsidP="00036FCF">
            <w:pPr>
              <w:pStyle w:val="Header"/>
              <w:numPr>
                <w:ilvl w:val="0"/>
                <w:numId w:val="1"/>
              </w:numPr>
              <w:jc w:val="both"/>
            </w:pPr>
            <w:r>
              <w:t>be searchable by location and equipment type; and</w:t>
            </w:r>
          </w:p>
          <w:p w14:paraId="4C7B56C4" w14:textId="1F5262EC" w:rsidR="00FC23F3" w:rsidRDefault="00567181" w:rsidP="00036FCF">
            <w:pPr>
              <w:pStyle w:val="Header"/>
              <w:numPr>
                <w:ilvl w:val="0"/>
                <w:numId w:val="1"/>
              </w:numPr>
              <w:jc w:val="both"/>
            </w:pPr>
            <w:r>
              <w:t xml:space="preserve">be accessible by all fire departments in </w:t>
            </w:r>
            <w:r w:rsidR="003944BF">
              <w:t>Texas</w:t>
            </w:r>
            <w:r>
              <w:t xml:space="preserve"> and allow each fire department to update the database information regarding the fire department's available equipment.</w:t>
            </w:r>
          </w:p>
          <w:p w14:paraId="45E6B964" w14:textId="5BA007AD" w:rsidR="00FC23F3" w:rsidRDefault="00567181" w:rsidP="00036FCF">
            <w:pPr>
              <w:pStyle w:val="Header"/>
              <w:jc w:val="both"/>
            </w:pPr>
            <w:r>
              <w:t>The bill requires the</w:t>
            </w:r>
            <w:r w:rsidR="006F6571">
              <w:t xml:space="preserve"> </w:t>
            </w:r>
            <w:r w:rsidR="00BD0311">
              <w:t xml:space="preserve">forest </w:t>
            </w:r>
            <w:r w:rsidR="006F6571">
              <w:t xml:space="preserve">service </w:t>
            </w:r>
            <w:r>
              <w:t>to establish and maintain an electronic system to at least annually notify a fire department that provides the department's firefighting equipment information to the database of the requirement to update the information in the database and</w:t>
            </w:r>
            <w:r w:rsidR="000208E3">
              <w:t xml:space="preserve"> to</w:t>
            </w:r>
            <w:r>
              <w:t xml:space="preserve"> assist a fire department that provides the department's firefighting equipment information to the database in updating the database annually or as soon as practicable after any change in equipment availability.</w:t>
            </w:r>
          </w:p>
          <w:p w14:paraId="3F63113D" w14:textId="77777777" w:rsidR="00FC23F3" w:rsidRDefault="00FC23F3" w:rsidP="00036FCF">
            <w:pPr>
              <w:pStyle w:val="Header"/>
              <w:jc w:val="both"/>
            </w:pPr>
          </w:p>
          <w:p w14:paraId="04E8B50C" w14:textId="019C3CC8" w:rsidR="00973D22" w:rsidRPr="009C36CD" w:rsidRDefault="00567181" w:rsidP="00036FCF">
            <w:pPr>
              <w:pStyle w:val="Header"/>
              <w:tabs>
                <w:tab w:val="clear" w:pos="4320"/>
                <w:tab w:val="clear" w:pos="8640"/>
              </w:tabs>
              <w:jc w:val="both"/>
            </w:pPr>
            <w:r>
              <w:t>C.S.</w:t>
            </w:r>
            <w:r w:rsidR="00EF2442">
              <w:t>S.B. 34 amends the Government Code to establish that a</w:t>
            </w:r>
            <w:r w:rsidR="00FC23F3">
              <w:t xml:space="preserve">t least 10 percent of appropriations for a state fiscal year from the </w:t>
            </w:r>
            <w:r w:rsidR="00D339D2">
              <w:t xml:space="preserve">volunteer </w:t>
            </w:r>
            <w:r w:rsidR="00BD0311">
              <w:t xml:space="preserve">fire department assistance </w:t>
            </w:r>
            <w:r w:rsidR="00FC23F3">
              <w:t>fund</w:t>
            </w:r>
            <w:r w:rsidR="00B819DA">
              <w:t xml:space="preserve"> </w:t>
            </w:r>
            <w:r w:rsidR="00FC23F3">
              <w:t>for the purpose of providing assistance to volunteer fire departments under the</w:t>
            </w:r>
            <w:r w:rsidR="00EF2442">
              <w:t xml:space="preserve"> rural volunteer fire department assistance</w:t>
            </w:r>
            <w:r w:rsidR="00FC23F3">
              <w:t xml:space="preserve"> program is allocated for volunteer fire departments located in areas of </w:t>
            </w:r>
            <w:r w:rsidR="00EF2442">
              <w:t>Texas</w:t>
            </w:r>
            <w:r w:rsidR="00FC23F3">
              <w:t xml:space="preserve"> the</w:t>
            </w:r>
            <w:r w:rsidR="0000059D">
              <w:t xml:space="preserve"> forest</w:t>
            </w:r>
            <w:r w:rsidR="00FC23F3">
              <w:t xml:space="preserve"> service determines are at high risk for large wildfires. If the amount of assistance requested in a state fiscal year is less than the amount allocated</w:t>
            </w:r>
            <w:r w:rsidR="00EF2442">
              <w:t xml:space="preserve"> for such purposes</w:t>
            </w:r>
            <w:r w:rsidR="00FC23F3">
              <w:t>, the remainder may be used for other types of assistance requests.</w:t>
            </w:r>
          </w:p>
          <w:p w14:paraId="27FA5805" w14:textId="77777777" w:rsidR="008423E4" w:rsidRPr="00835628" w:rsidRDefault="008423E4" w:rsidP="00036FCF">
            <w:pPr>
              <w:rPr>
                <w:b/>
              </w:rPr>
            </w:pPr>
          </w:p>
        </w:tc>
      </w:tr>
      <w:tr w:rsidR="00200958" w14:paraId="0CADBCD4" w14:textId="77777777" w:rsidTr="001A6C7A">
        <w:tc>
          <w:tcPr>
            <w:tcW w:w="9360" w:type="dxa"/>
          </w:tcPr>
          <w:p w14:paraId="4F2BF00B" w14:textId="77777777" w:rsidR="008423E4" w:rsidRPr="00A8133F" w:rsidRDefault="00567181" w:rsidP="00036FCF">
            <w:pPr>
              <w:rPr>
                <w:b/>
              </w:rPr>
            </w:pPr>
            <w:r w:rsidRPr="009C1E9A">
              <w:rPr>
                <w:b/>
                <w:u w:val="single"/>
              </w:rPr>
              <w:t>EFFECTIVE DATE</w:t>
            </w:r>
            <w:r>
              <w:rPr>
                <w:b/>
              </w:rPr>
              <w:t xml:space="preserve"> </w:t>
            </w:r>
          </w:p>
          <w:p w14:paraId="63A4B680" w14:textId="77777777" w:rsidR="008423E4" w:rsidRDefault="008423E4" w:rsidP="00036FCF"/>
          <w:p w14:paraId="40FA4AE7" w14:textId="3BFA11B8" w:rsidR="008423E4" w:rsidRPr="003624F2" w:rsidRDefault="00567181" w:rsidP="00036FCF">
            <w:pPr>
              <w:pStyle w:val="Header"/>
              <w:tabs>
                <w:tab w:val="clear" w:pos="4320"/>
                <w:tab w:val="clear" w:pos="8640"/>
              </w:tabs>
              <w:jc w:val="both"/>
            </w:pPr>
            <w:r>
              <w:t>September 1, 2025.</w:t>
            </w:r>
          </w:p>
          <w:p w14:paraId="5D186A2A" w14:textId="77777777" w:rsidR="008423E4" w:rsidRPr="00233FDB" w:rsidRDefault="008423E4" w:rsidP="00036FCF">
            <w:pPr>
              <w:rPr>
                <w:b/>
              </w:rPr>
            </w:pPr>
          </w:p>
        </w:tc>
      </w:tr>
      <w:tr w:rsidR="00200958" w14:paraId="09C1B176" w14:textId="77777777" w:rsidTr="001A6C7A">
        <w:tc>
          <w:tcPr>
            <w:tcW w:w="9360" w:type="dxa"/>
          </w:tcPr>
          <w:p w14:paraId="1A136535" w14:textId="77777777" w:rsidR="00FA0695" w:rsidRPr="000D60E0" w:rsidRDefault="00567181" w:rsidP="00036FCF">
            <w:pPr>
              <w:jc w:val="both"/>
              <w:rPr>
                <w:b/>
                <w:bCs/>
                <w:u w:val="single"/>
              </w:rPr>
            </w:pPr>
            <w:r w:rsidRPr="000D60E0">
              <w:rPr>
                <w:b/>
                <w:bCs/>
                <w:u w:val="single"/>
              </w:rPr>
              <w:t>COMPARISON OF SENATE ENGROSSED AND SUBSTITUTE</w:t>
            </w:r>
          </w:p>
          <w:p w14:paraId="1CD77EAB" w14:textId="77777777" w:rsidR="00BC5677" w:rsidRDefault="00BC5677" w:rsidP="00036FCF">
            <w:pPr>
              <w:jc w:val="both"/>
              <w:rPr>
                <w:b/>
                <w:bCs/>
                <w:u w:val="single"/>
              </w:rPr>
            </w:pPr>
          </w:p>
          <w:p w14:paraId="122336AC" w14:textId="77777777" w:rsidR="000D60E0" w:rsidRDefault="00567181" w:rsidP="00036FCF">
            <w:pPr>
              <w:jc w:val="both"/>
            </w:pPr>
            <w:r>
              <w:t xml:space="preserve">While C.S.S.B. 34 may differ from the engrossed in minor or nonsubstantive ways, the following summarizes the substantial differences between the engrossed and </w:t>
            </w:r>
            <w:r>
              <w:t>committee substitute versions of the bill.</w:t>
            </w:r>
          </w:p>
          <w:p w14:paraId="6BF52213" w14:textId="77777777" w:rsidR="000D60E0" w:rsidRPr="00CA4DDA" w:rsidRDefault="000D60E0" w:rsidP="00036FCF">
            <w:pPr>
              <w:jc w:val="both"/>
            </w:pPr>
          </w:p>
          <w:p w14:paraId="36291895" w14:textId="77777777" w:rsidR="000D60E0" w:rsidRPr="00CA4DDA" w:rsidRDefault="00567181" w:rsidP="00036FCF">
            <w:pPr>
              <w:jc w:val="both"/>
              <w:rPr>
                <w:bCs/>
              </w:rPr>
            </w:pPr>
            <w:r w:rsidRPr="00CA4DDA">
              <w:rPr>
                <w:bCs/>
              </w:rPr>
              <w:t xml:space="preserve">The substitute omits the following </w:t>
            </w:r>
            <w:r>
              <w:rPr>
                <w:bCs/>
              </w:rPr>
              <w:t>provisions of the engrossed that amended the Insurance Code and Natural Resources Code</w:t>
            </w:r>
            <w:r w:rsidRPr="00CA4DDA">
              <w:rPr>
                <w:bCs/>
              </w:rPr>
              <w:t>:</w:t>
            </w:r>
          </w:p>
          <w:p w14:paraId="61A0D256" w14:textId="77777777" w:rsidR="000D60E0" w:rsidRDefault="00567181" w:rsidP="00036FCF">
            <w:pPr>
              <w:pStyle w:val="ListParagraph"/>
              <w:numPr>
                <w:ilvl w:val="0"/>
                <w:numId w:val="5"/>
              </w:numPr>
              <w:contextualSpacing w:val="0"/>
              <w:jc w:val="both"/>
              <w:rPr>
                <w:bCs/>
              </w:rPr>
            </w:pPr>
            <w:r>
              <w:rPr>
                <w:bCs/>
              </w:rPr>
              <w:t>the provision which, under the statutory requirement for</w:t>
            </w:r>
            <w:r w:rsidRPr="00CA4DDA">
              <w:rPr>
                <w:bCs/>
              </w:rPr>
              <w:t xml:space="preserve"> the comptroller to assess against all applicable insurers for rural fire protection amounts for each state fiscal year necessary, as determined by the commissioner of insurance, to collect</w:t>
            </w:r>
            <w:r>
              <w:rPr>
                <w:bCs/>
              </w:rPr>
              <w:t xml:space="preserve"> the lesser of the applicable appropriation from the volunteer fire department assistance fund account for that state fiscal year or $30 million, changed the applicable amount from $30 million to $40 million;</w:t>
            </w:r>
          </w:p>
          <w:p w14:paraId="71B20EA5" w14:textId="77777777" w:rsidR="000D60E0" w:rsidRPr="00DD5072" w:rsidRDefault="00567181" w:rsidP="00036FCF">
            <w:pPr>
              <w:pStyle w:val="ListParagraph"/>
              <w:numPr>
                <w:ilvl w:val="0"/>
                <w:numId w:val="5"/>
              </w:numPr>
              <w:contextualSpacing w:val="0"/>
              <w:jc w:val="both"/>
              <w:rPr>
                <w:bCs/>
              </w:rPr>
            </w:pPr>
            <w:r>
              <w:rPr>
                <w:bCs/>
              </w:rPr>
              <w:t>the requirement for</w:t>
            </w:r>
            <w:r w:rsidRPr="00DD5072">
              <w:rPr>
                <w:bCs/>
              </w:rPr>
              <w:t xml:space="preserve"> an operator to construct, operate, and maintain an electrical power line serving a well site or other surface facility employed in operations incident to oil and gas development and production in accordance with</w:t>
            </w:r>
            <w:r>
              <w:rPr>
                <w:bCs/>
              </w:rPr>
              <w:t xml:space="preserve">, </w:t>
            </w:r>
            <w:r w:rsidRPr="00DD5072">
              <w:rPr>
                <w:bCs/>
              </w:rPr>
              <w:t xml:space="preserve">for an </w:t>
            </w:r>
            <w:r>
              <w:rPr>
                <w:bCs/>
              </w:rPr>
              <w:t>applicable</w:t>
            </w:r>
            <w:r w:rsidRPr="00DD5072">
              <w:rPr>
                <w:bCs/>
              </w:rPr>
              <w:t xml:space="preserve"> utility that is engaged in the maintenance of an electric transmission and distribution system</w:t>
            </w:r>
            <w:r>
              <w:rPr>
                <w:bCs/>
              </w:rPr>
              <w:t>,</w:t>
            </w:r>
            <w:r w:rsidRPr="00DD5072">
              <w:rPr>
                <w:bCs/>
              </w:rPr>
              <w:t xml:space="preserve"> relevant rules adopted by the Public Utility Commission of Texas (PUC)</w:t>
            </w:r>
            <w:r>
              <w:rPr>
                <w:bCs/>
              </w:rPr>
              <w:t>;</w:t>
            </w:r>
          </w:p>
          <w:p w14:paraId="56E8D53D" w14:textId="77777777" w:rsidR="000D60E0" w:rsidRDefault="00567181" w:rsidP="00036FCF">
            <w:pPr>
              <w:pStyle w:val="ListParagraph"/>
              <w:numPr>
                <w:ilvl w:val="0"/>
                <w:numId w:val="5"/>
              </w:numPr>
              <w:contextualSpacing w:val="0"/>
              <w:jc w:val="both"/>
              <w:rPr>
                <w:bCs/>
              </w:rPr>
            </w:pPr>
            <w:r>
              <w:rPr>
                <w:bCs/>
              </w:rPr>
              <w:t>t</w:t>
            </w:r>
            <w:r w:rsidRPr="00DD5072">
              <w:rPr>
                <w:bCs/>
              </w:rPr>
              <w:t>he</w:t>
            </w:r>
            <w:r>
              <w:rPr>
                <w:bCs/>
              </w:rPr>
              <w:t xml:space="preserve"> requirement for the</w:t>
            </w:r>
            <w:r w:rsidRPr="00DD5072">
              <w:rPr>
                <w:bCs/>
              </w:rPr>
              <w:t xml:space="preserve"> Railroad Commission of Texas (RRC), if, during an inspection of a well site or surface facility employed in operations incident to oil and gas development and production or on the receipt of a written notice submitted by a landowner or lessee, the RRC discovers a condition involving an electrical power line, pole, or other related electrical equipment that does not meet the required standards and poses a risk of causing a fire or injury to a person, to notify the PUC and the operator </w:t>
            </w:r>
            <w:r w:rsidRPr="00DD5072">
              <w:rPr>
                <w:bCs/>
              </w:rPr>
              <w:t>not later than three days after the date the RRC discovers or receives notice of the condition</w:t>
            </w:r>
            <w:r>
              <w:rPr>
                <w:bCs/>
              </w:rPr>
              <w:t>;</w:t>
            </w:r>
          </w:p>
          <w:p w14:paraId="3D496465" w14:textId="77777777" w:rsidR="000D60E0" w:rsidRDefault="00567181" w:rsidP="00036FCF">
            <w:pPr>
              <w:pStyle w:val="ListParagraph"/>
              <w:numPr>
                <w:ilvl w:val="0"/>
                <w:numId w:val="5"/>
              </w:numPr>
              <w:contextualSpacing w:val="0"/>
              <w:jc w:val="both"/>
              <w:rPr>
                <w:bCs/>
              </w:rPr>
            </w:pPr>
            <w:r>
              <w:rPr>
                <w:bCs/>
              </w:rPr>
              <w:t>a provision that required t</w:t>
            </w:r>
            <w:r w:rsidRPr="00DD5072">
              <w:rPr>
                <w:bCs/>
              </w:rPr>
              <w:t xml:space="preserve">he notice by the RRC </w:t>
            </w:r>
            <w:r>
              <w:rPr>
                <w:bCs/>
              </w:rPr>
              <w:t>to</w:t>
            </w:r>
            <w:r w:rsidRPr="00DD5072">
              <w:rPr>
                <w:bCs/>
              </w:rPr>
              <w:t xml:space="preserve"> include a description of the condition and, if the condition was discovered at a well site, whether the well is abandoned</w:t>
            </w:r>
            <w:r>
              <w:rPr>
                <w:bCs/>
              </w:rPr>
              <w:t>;</w:t>
            </w:r>
          </w:p>
          <w:p w14:paraId="439D4B5C" w14:textId="77777777" w:rsidR="000D60E0" w:rsidRPr="00DD5072" w:rsidRDefault="00567181" w:rsidP="00036FCF">
            <w:pPr>
              <w:pStyle w:val="ListParagraph"/>
              <w:numPr>
                <w:ilvl w:val="0"/>
                <w:numId w:val="5"/>
              </w:numPr>
              <w:contextualSpacing w:val="0"/>
              <w:jc w:val="both"/>
              <w:rPr>
                <w:bCs/>
              </w:rPr>
            </w:pPr>
            <w:r>
              <w:rPr>
                <w:bCs/>
              </w:rPr>
              <w:t xml:space="preserve">the requirement for </w:t>
            </w:r>
            <w:r w:rsidRPr="00DD5072">
              <w:rPr>
                <w:bCs/>
              </w:rPr>
              <w:t xml:space="preserve">the RRC and the PUC, in collaboration, to </w:t>
            </w:r>
            <w:r>
              <w:rPr>
                <w:bCs/>
              </w:rPr>
              <w:t>take</w:t>
            </w:r>
            <w:r w:rsidRPr="00DD5072">
              <w:rPr>
                <w:bCs/>
              </w:rPr>
              <w:t xml:space="preserve"> the following actions</w:t>
            </w:r>
            <w:r>
              <w:rPr>
                <w:bCs/>
              </w:rPr>
              <w:t xml:space="preserve"> to resolve the condition</w:t>
            </w:r>
            <w:r w:rsidRPr="00DD5072">
              <w:rPr>
                <w:bCs/>
              </w:rPr>
              <w:t xml:space="preserve"> not later than 10 days after the date the RRC notifies the PUC:</w:t>
            </w:r>
          </w:p>
          <w:p w14:paraId="0460EC01" w14:textId="77777777" w:rsidR="000D60E0" w:rsidRPr="00CA4DDA" w:rsidRDefault="00567181" w:rsidP="00036FCF">
            <w:pPr>
              <w:pStyle w:val="ListParagraph"/>
              <w:numPr>
                <w:ilvl w:val="1"/>
                <w:numId w:val="5"/>
              </w:numPr>
              <w:contextualSpacing w:val="0"/>
              <w:jc w:val="both"/>
              <w:rPr>
                <w:bCs/>
              </w:rPr>
            </w:pPr>
            <w:r w:rsidRPr="00CA4DDA">
              <w:rPr>
                <w:bCs/>
              </w:rPr>
              <w:t>notify the landowner of the property of the conditions and the actions taken by the RRC and the PUC to resolve the condition; and</w:t>
            </w:r>
          </w:p>
          <w:p w14:paraId="154AA534" w14:textId="77777777" w:rsidR="000D60E0" w:rsidRPr="00CA4DDA" w:rsidRDefault="00567181" w:rsidP="00036FCF">
            <w:pPr>
              <w:pStyle w:val="ListParagraph"/>
              <w:numPr>
                <w:ilvl w:val="1"/>
                <w:numId w:val="5"/>
              </w:numPr>
              <w:contextualSpacing w:val="0"/>
              <w:jc w:val="both"/>
              <w:rPr>
                <w:bCs/>
              </w:rPr>
            </w:pPr>
            <w:r w:rsidRPr="00CA4DDA">
              <w:rPr>
                <w:bCs/>
              </w:rPr>
              <w:t>request that the state fire marshal or a local government authority inspect the condition at the well site or surface facility and require the operator to mitigate any dangerous conditions identified by the state fire marshal or local government authority or request that the electric utility providing electric power to the well site or surface facility investigate the condition and disconnect electric power at the point of common coupling meter point, if necessary</w:t>
            </w:r>
            <w:r>
              <w:rPr>
                <w:bCs/>
              </w:rPr>
              <w:t xml:space="preserve">; </w:t>
            </w:r>
          </w:p>
          <w:p w14:paraId="6BB07043" w14:textId="77777777" w:rsidR="000D60E0" w:rsidRDefault="00567181" w:rsidP="00036FCF">
            <w:pPr>
              <w:pStyle w:val="ListParagraph"/>
              <w:numPr>
                <w:ilvl w:val="0"/>
                <w:numId w:val="5"/>
              </w:numPr>
              <w:contextualSpacing w:val="0"/>
              <w:jc w:val="both"/>
              <w:rPr>
                <w:bCs/>
              </w:rPr>
            </w:pPr>
            <w:r>
              <w:rPr>
                <w:bCs/>
              </w:rPr>
              <w:t>the requirement for</w:t>
            </w:r>
            <w:r w:rsidRPr="00CA4DDA">
              <w:rPr>
                <w:bCs/>
              </w:rPr>
              <w:t xml:space="preserve"> an electric utility</w:t>
            </w:r>
            <w:r>
              <w:rPr>
                <w:bCs/>
              </w:rPr>
              <w:t xml:space="preserve">, </w:t>
            </w:r>
            <w:r w:rsidRPr="00CA4DDA">
              <w:rPr>
                <w:bCs/>
              </w:rPr>
              <w:t>if the electric power to a well site or surface facility is disconnected by the electric utility in response to such a request</w:t>
            </w:r>
            <w:r>
              <w:rPr>
                <w:bCs/>
              </w:rPr>
              <w:t>,</w:t>
            </w:r>
            <w:r w:rsidRPr="00CA4DDA">
              <w:rPr>
                <w:bCs/>
              </w:rPr>
              <w:t xml:space="preserve"> to restore electric power to the site or facility on receipt of a notice by the RRC that the condition is resolved</w:t>
            </w:r>
            <w:r>
              <w:rPr>
                <w:bCs/>
              </w:rPr>
              <w:t>; and</w:t>
            </w:r>
          </w:p>
          <w:p w14:paraId="474A5593" w14:textId="6ACFB944" w:rsidR="000D60E0" w:rsidRPr="000D60E0" w:rsidRDefault="00567181" w:rsidP="00036FCF">
            <w:pPr>
              <w:pStyle w:val="ListParagraph"/>
              <w:numPr>
                <w:ilvl w:val="0"/>
                <w:numId w:val="5"/>
              </w:numPr>
              <w:contextualSpacing w:val="0"/>
              <w:jc w:val="both"/>
              <w:rPr>
                <w:bCs/>
              </w:rPr>
            </w:pPr>
            <w:r w:rsidRPr="000D60E0">
              <w:rPr>
                <w:bCs/>
              </w:rPr>
              <w:t xml:space="preserve">a provision establishing that the Natural Resources Code provisions relating to standards for construction, operation, and maintenance of electrical power lines apply only to an </w:t>
            </w:r>
            <w:r w:rsidRPr="000D60E0">
              <w:rPr>
                <w:bCs/>
              </w:rPr>
              <w:t>inspection that occurred on or after the bill's effective date.</w:t>
            </w:r>
          </w:p>
        </w:tc>
      </w:tr>
      <w:tr w:rsidR="00200958" w14:paraId="28F357C2" w14:textId="77777777" w:rsidTr="001A6C7A">
        <w:tc>
          <w:tcPr>
            <w:tcW w:w="9360" w:type="dxa"/>
          </w:tcPr>
          <w:p w14:paraId="16BB4283" w14:textId="77777777" w:rsidR="00FA0695" w:rsidRDefault="00FA0695" w:rsidP="00036FCF">
            <w:pPr>
              <w:jc w:val="both"/>
              <w:rPr>
                <w:b/>
                <w:u w:val="single"/>
              </w:rPr>
            </w:pPr>
          </w:p>
        </w:tc>
      </w:tr>
    </w:tbl>
    <w:p w14:paraId="0031D641" w14:textId="77777777" w:rsidR="008423E4" w:rsidRPr="00BE0E75" w:rsidRDefault="008423E4" w:rsidP="00036FCF">
      <w:pPr>
        <w:jc w:val="both"/>
        <w:rPr>
          <w:rFonts w:ascii="Arial" w:hAnsi="Arial"/>
          <w:sz w:val="16"/>
          <w:szCs w:val="16"/>
        </w:rPr>
      </w:pPr>
    </w:p>
    <w:p w14:paraId="12F528CC" w14:textId="77777777" w:rsidR="004108C3" w:rsidRPr="008423E4" w:rsidRDefault="004108C3" w:rsidP="00036FC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4939" w14:textId="77777777" w:rsidR="00567181" w:rsidRDefault="00567181">
      <w:r>
        <w:separator/>
      </w:r>
    </w:p>
  </w:endnote>
  <w:endnote w:type="continuationSeparator" w:id="0">
    <w:p w14:paraId="109BAE9E" w14:textId="77777777" w:rsidR="00567181" w:rsidRDefault="0056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965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00958" w14:paraId="5B50F283" w14:textId="77777777" w:rsidTr="009C1E9A">
      <w:trPr>
        <w:cantSplit/>
      </w:trPr>
      <w:tc>
        <w:tcPr>
          <w:tcW w:w="0" w:type="pct"/>
        </w:tcPr>
        <w:p w14:paraId="7D952A1F" w14:textId="77777777" w:rsidR="00137D90" w:rsidRDefault="00137D90" w:rsidP="009C1E9A">
          <w:pPr>
            <w:pStyle w:val="Footer"/>
            <w:tabs>
              <w:tab w:val="clear" w:pos="8640"/>
              <w:tab w:val="right" w:pos="9360"/>
            </w:tabs>
          </w:pPr>
        </w:p>
      </w:tc>
      <w:tc>
        <w:tcPr>
          <w:tcW w:w="2395" w:type="pct"/>
        </w:tcPr>
        <w:p w14:paraId="5E7DDDA6" w14:textId="77777777" w:rsidR="00137D90" w:rsidRDefault="00137D90" w:rsidP="009C1E9A">
          <w:pPr>
            <w:pStyle w:val="Footer"/>
            <w:tabs>
              <w:tab w:val="clear" w:pos="8640"/>
              <w:tab w:val="right" w:pos="9360"/>
            </w:tabs>
          </w:pPr>
        </w:p>
        <w:p w14:paraId="1DAD02D9" w14:textId="77777777" w:rsidR="001A4310" w:rsidRDefault="001A4310" w:rsidP="009C1E9A">
          <w:pPr>
            <w:pStyle w:val="Footer"/>
            <w:tabs>
              <w:tab w:val="clear" w:pos="8640"/>
              <w:tab w:val="right" w:pos="9360"/>
            </w:tabs>
          </w:pPr>
        </w:p>
        <w:p w14:paraId="1152F4A2" w14:textId="77777777" w:rsidR="00137D90" w:rsidRDefault="00137D90" w:rsidP="009C1E9A">
          <w:pPr>
            <w:pStyle w:val="Footer"/>
            <w:tabs>
              <w:tab w:val="clear" w:pos="8640"/>
              <w:tab w:val="right" w:pos="9360"/>
            </w:tabs>
          </w:pPr>
        </w:p>
      </w:tc>
      <w:tc>
        <w:tcPr>
          <w:tcW w:w="2453" w:type="pct"/>
        </w:tcPr>
        <w:p w14:paraId="367FAE5D" w14:textId="77777777" w:rsidR="00137D90" w:rsidRDefault="00137D90" w:rsidP="009C1E9A">
          <w:pPr>
            <w:pStyle w:val="Footer"/>
            <w:tabs>
              <w:tab w:val="clear" w:pos="8640"/>
              <w:tab w:val="right" w:pos="9360"/>
            </w:tabs>
            <w:jc w:val="right"/>
          </w:pPr>
        </w:p>
      </w:tc>
    </w:tr>
    <w:tr w:rsidR="00200958" w14:paraId="005B26C1" w14:textId="77777777" w:rsidTr="009C1E9A">
      <w:trPr>
        <w:cantSplit/>
      </w:trPr>
      <w:tc>
        <w:tcPr>
          <w:tcW w:w="0" w:type="pct"/>
        </w:tcPr>
        <w:p w14:paraId="4B74656E" w14:textId="77777777" w:rsidR="00EC379B" w:rsidRDefault="00EC379B" w:rsidP="009C1E9A">
          <w:pPr>
            <w:pStyle w:val="Footer"/>
            <w:tabs>
              <w:tab w:val="clear" w:pos="8640"/>
              <w:tab w:val="right" w:pos="9360"/>
            </w:tabs>
          </w:pPr>
        </w:p>
      </w:tc>
      <w:tc>
        <w:tcPr>
          <w:tcW w:w="2395" w:type="pct"/>
        </w:tcPr>
        <w:p w14:paraId="4B63FEA2" w14:textId="71C802EC" w:rsidR="00EC379B" w:rsidRPr="009C1E9A" w:rsidRDefault="00567181" w:rsidP="009C1E9A">
          <w:pPr>
            <w:pStyle w:val="Footer"/>
            <w:tabs>
              <w:tab w:val="clear" w:pos="8640"/>
              <w:tab w:val="right" w:pos="9360"/>
            </w:tabs>
            <w:rPr>
              <w:rFonts w:ascii="Shruti" w:hAnsi="Shruti"/>
              <w:sz w:val="22"/>
            </w:rPr>
          </w:pPr>
          <w:r>
            <w:rPr>
              <w:rFonts w:ascii="Shruti" w:hAnsi="Shruti"/>
              <w:sz w:val="22"/>
            </w:rPr>
            <w:t>89R 30916-D</w:t>
          </w:r>
        </w:p>
      </w:tc>
      <w:tc>
        <w:tcPr>
          <w:tcW w:w="2453" w:type="pct"/>
        </w:tcPr>
        <w:p w14:paraId="562C663D" w14:textId="7A5A4E12" w:rsidR="00EC379B" w:rsidRDefault="00567181" w:rsidP="009C1E9A">
          <w:pPr>
            <w:pStyle w:val="Footer"/>
            <w:tabs>
              <w:tab w:val="clear" w:pos="8640"/>
              <w:tab w:val="right" w:pos="9360"/>
            </w:tabs>
            <w:jc w:val="right"/>
          </w:pPr>
          <w:r>
            <w:fldChar w:fldCharType="begin"/>
          </w:r>
          <w:r>
            <w:instrText xml:space="preserve"> DOCPROPERTY  OTID  \* MERGEFORMAT </w:instrText>
          </w:r>
          <w:r>
            <w:fldChar w:fldCharType="separate"/>
          </w:r>
          <w:r w:rsidR="00117CA0">
            <w:t>25.134.519</w:t>
          </w:r>
          <w:r>
            <w:fldChar w:fldCharType="end"/>
          </w:r>
        </w:p>
      </w:tc>
    </w:tr>
    <w:tr w:rsidR="00200958" w14:paraId="61E0C99C" w14:textId="77777777" w:rsidTr="009C1E9A">
      <w:trPr>
        <w:cantSplit/>
      </w:trPr>
      <w:tc>
        <w:tcPr>
          <w:tcW w:w="0" w:type="pct"/>
        </w:tcPr>
        <w:p w14:paraId="43EA5F81" w14:textId="77777777" w:rsidR="00EC379B" w:rsidRDefault="00EC379B" w:rsidP="009C1E9A">
          <w:pPr>
            <w:pStyle w:val="Footer"/>
            <w:tabs>
              <w:tab w:val="clear" w:pos="4320"/>
              <w:tab w:val="clear" w:pos="8640"/>
              <w:tab w:val="left" w:pos="2865"/>
            </w:tabs>
          </w:pPr>
        </w:p>
      </w:tc>
      <w:tc>
        <w:tcPr>
          <w:tcW w:w="2395" w:type="pct"/>
        </w:tcPr>
        <w:p w14:paraId="115EA3D8" w14:textId="495CD77B" w:rsidR="00EC379B" w:rsidRPr="009C1E9A" w:rsidRDefault="00567181" w:rsidP="009C1E9A">
          <w:pPr>
            <w:pStyle w:val="Footer"/>
            <w:tabs>
              <w:tab w:val="clear" w:pos="4320"/>
              <w:tab w:val="clear" w:pos="8640"/>
              <w:tab w:val="left" w:pos="2865"/>
            </w:tabs>
            <w:rPr>
              <w:rFonts w:ascii="Shruti" w:hAnsi="Shruti"/>
              <w:sz w:val="22"/>
            </w:rPr>
          </w:pPr>
          <w:r>
            <w:rPr>
              <w:rFonts w:ascii="Shruti" w:hAnsi="Shruti"/>
              <w:sz w:val="22"/>
            </w:rPr>
            <w:t>Substitute Document Number: 89R 29385</w:t>
          </w:r>
        </w:p>
      </w:tc>
      <w:tc>
        <w:tcPr>
          <w:tcW w:w="2453" w:type="pct"/>
        </w:tcPr>
        <w:p w14:paraId="76C05E5F" w14:textId="77777777" w:rsidR="00EC379B" w:rsidRDefault="00EC379B" w:rsidP="006D504F">
          <w:pPr>
            <w:pStyle w:val="Footer"/>
            <w:rPr>
              <w:rStyle w:val="PageNumber"/>
            </w:rPr>
          </w:pPr>
        </w:p>
        <w:p w14:paraId="4CF15899" w14:textId="77777777" w:rsidR="00EC379B" w:rsidRDefault="00EC379B" w:rsidP="009C1E9A">
          <w:pPr>
            <w:pStyle w:val="Footer"/>
            <w:tabs>
              <w:tab w:val="clear" w:pos="8640"/>
              <w:tab w:val="right" w:pos="9360"/>
            </w:tabs>
            <w:jc w:val="right"/>
          </w:pPr>
        </w:p>
      </w:tc>
    </w:tr>
    <w:tr w:rsidR="00200958" w14:paraId="6BABF449" w14:textId="77777777" w:rsidTr="009C1E9A">
      <w:trPr>
        <w:cantSplit/>
        <w:trHeight w:val="323"/>
      </w:trPr>
      <w:tc>
        <w:tcPr>
          <w:tcW w:w="0" w:type="pct"/>
          <w:gridSpan w:val="3"/>
        </w:tcPr>
        <w:p w14:paraId="07A35252" w14:textId="77777777" w:rsidR="00EC379B" w:rsidRDefault="0056718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F99D5CE" w14:textId="77777777" w:rsidR="00EC379B" w:rsidRDefault="00EC379B" w:rsidP="009C1E9A">
          <w:pPr>
            <w:pStyle w:val="Footer"/>
            <w:tabs>
              <w:tab w:val="clear" w:pos="8640"/>
              <w:tab w:val="right" w:pos="9360"/>
            </w:tabs>
            <w:jc w:val="center"/>
          </w:pPr>
        </w:p>
      </w:tc>
    </w:tr>
  </w:tbl>
  <w:p w14:paraId="3EC7740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AC0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D7F4" w14:textId="77777777" w:rsidR="00567181" w:rsidRDefault="00567181">
      <w:r>
        <w:separator/>
      </w:r>
    </w:p>
  </w:footnote>
  <w:footnote w:type="continuationSeparator" w:id="0">
    <w:p w14:paraId="15F02D14" w14:textId="77777777" w:rsidR="00567181" w:rsidRDefault="0056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B09C"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D66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6EA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0693F"/>
    <w:multiLevelType w:val="hybridMultilevel"/>
    <w:tmpl w:val="A34C41A6"/>
    <w:lvl w:ilvl="0" w:tplc="8988C09A">
      <w:start w:val="1"/>
      <w:numFmt w:val="bullet"/>
      <w:lvlText w:val=""/>
      <w:lvlJc w:val="left"/>
      <w:pPr>
        <w:tabs>
          <w:tab w:val="num" w:pos="720"/>
        </w:tabs>
        <w:ind w:left="720" w:hanging="360"/>
      </w:pPr>
      <w:rPr>
        <w:rFonts w:ascii="Symbol" w:hAnsi="Symbol" w:hint="default"/>
      </w:rPr>
    </w:lvl>
    <w:lvl w:ilvl="1" w:tplc="46629158">
      <w:start w:val="1"/>
      <w:numFmt w:val="bullet"/>
      <w:lvlText w:val="o"/>
      <w:lvlJc w:val="left"/>
      <w:pPr>
        <w:ind w:left="1440" w:hanging="360"/>
      </w:pPr>
      <w:rPr>
        <w:rFonts w:ascii="Courier New" w:hAnsi="Courier New" w:cs="Courier New" w:hint="default"/>
      </w:rPr>
    </w:lvl>
    <w:lvl w:ilvl="2" w:tplc="5EF8B092" w:tentative="1">
      <w:start w:val="1"/>
      <w:numFmt w:val="bullet"/>
      <w:lvlText w:val=""/>
      <w:lvlJc w:val="left"/>
      <w:pPr>
        <w:ind w:left="2160" w:hanging="360"/>
      </w:pPr>
      <w:rPr>
        <w:rFonts w:ascii="Wingdings" w:hAnsi="Wingdings" w:hint="default"/>
      </w:rPr>
    </w:lvl>
    <w:lvl w:ilvl="3" w:tplc="53182448" w:tentative="1">
      <w:start w:val="1"/>
      <w:numFmt w:val="bullet"/>
      <w:lvlText w:val=""/>
      <w:lvlJc w:val="left"/>
      <w:pPr>
        <w:ind w:left="2880" w:hanging="360"/>
      </w:pPr>
      <w:rPr>
        <w:rFonts w:ascii="Symbol" w:hAnsi="Symbol" w:hint="default"/>
      </w:rPr>
    </w:lvl>
    <w:lvl w:ilvl="4" w:tplc="3FB2E3CC" w:tentative="1">
      <w:start w:val="1"/>
      <w:numFmt w:val="bullet"/>
      <w:lvlText w:val="o"/>
      <w:lvlJc w:val="left"/>
      <w:pPr>
        <w:ind w:left="3600" w:hanging="360"/>
      </w:pPr>
      <w:rPr>
        <w:rFonts w:ascii="Courier New" w:hAnsi="Courier New" w:cs="Courier New" w:hint="default"/>
      </w:rPr>
    </w:lvl>
    <w:lvl w:ilvl="5" w:tplc="A14664C2" w:tentative="1">
      <w:start w:val="1"/>
      <w:numFmt w:val="bullet"/>
      <w:lvlText w:val=""/>
      <w:lvlJc w:val="left"/>
      <w:pPr>
        <w:ind w:left="4320" w:hanging="360"/>
      </w:pPr>
      <w:rPr>
        <w:rFonts w:ascii="Wingdings" w:hAnsi="Wingdings" w:hint="default"/>
      </w:rPr>
    </w:lvl>
    <w:lvl w:ilvl="6" w:tplc="05B4247E" w:tentative="1">
      <w:start w:val="1"/>
      <w:numFmt w:val="bullet"/>
      <w:lvlText w:val=""/>
      <w:lvlJc w:val="left"/>
      <w:pPr>
        <w:ind w:left="5040" w:hanging="360"/>
      </w:pPr>
      <w:rPr>
        <w:rFonts w:ascii="Symbol" w:hAnsi="Symbol" w:hint="default"/>
      </w:rPr>
    </w:lvl>
    <w:lvl w:ilvl="7" w:tplc="739A533E" w:tentative="1">
      <w:start w:val="1"/>
      <w:numFmt w:val="bullet"/>
      <w:lvlText w:val="o"/>
      <w:lvlJc w:val="left"/>
      <w:pPr>
        <w:ind w:left="5760" w:hanging="360"/>
      </w:pPr>
      <w:rPr>
        <w:rFonts w:ascii="Courier New" w:hAnsi="Courier New" w:cs="Courier New" w:hint="default"/>
      </w:rPr>
    </w:lvl>
    <w:lvl w:ilvl="8" w:tplc="DF48801C" w:tentative="1">
      <w:start w:val="1"/>
      <w:numFmt w:val="bullet"/>
      <w:lvlText w:val=""/>
      <w:lvlJc w:val="left"/>
      <w:pPr>
        <w:ind w:left="6480" w:hanging="360"/>
      </w:pPr>
      <w:rPr>
        <w:rFonts w:ascii="Wingdings" w:hAnsi="Wingdings" w:hint="default"/>
      </w:rPr>
    </w:lvl>
  </w:abstractNum>
  <w:abstractNum w:abstractNumId="1" w15:restartNumberingAfterBreak="0">
    <w:nsid w:val="38751F24"/>
    <w:multiLevelType w:val="hybridMultilevel"/>
    <w:tmpl w:val="DA740F66"/>
    <w:lvl w:ilvl="0" w:tplc="D7E636D8">
      <w:start w:val="1"/>
      <w:numFmt w:val="bullet"/>
      <w:lvlText w:val=""/>
      <w:lvlJc w:val="left"/>
      <w:pPr>
        <w:tabs>
          <w:tab w:val="num" w:pos="720"/>
        </w:tabs>
        <w:ind w:left="720" w:hanging="360"/>
      </w:pPr>
      <w:rPr>
        <w:rFonts w:ascii="Symbol" w:hAnsi="Symbol" w:hint="default"/>
      </w:rPr>
    </w:lvl>
    <w:lvl w:ilvl="1" w:tplc="735057A8" w:tentative="1">
      <w:start w:val="1"/>
      <w:numFmt w:val="bullet"/>
      <w:lvlText w:val="o"/>
      <w:lvlJc w:val="left"/>
      <w:pPr>
        <w:ind w:left="1440" w:hanging="360"/>
      </w:pPr>
      <w:rPr>
        <w:rFonts w:ascii="Courier New" w:hAnsi="Courier New" w:cs="Courier New" w:hint="default"/>
      </w:rPr>
    </w:lvl>
    <w:lvl w:ilvl="2" w:tplc="5926994C" w:tentative="1">
      <w:start w:val="1"/>
      <w:numFmt w:val="bullet"/>
      <w:lvlText w:val=""/>
      <w:lvlJc w:val="left"/>
      <w:pPr>
        <w:ind w:left="2160" w:hanging="360"/>
      </w:pPr>
      <w:rPr>
        <w:rFonts w:ascii="Wingdings" w:hAnsi="Wingdings" w:hint="default"/>
      </w:rPr>
    </w:lvl>
    <w:lvl w:ilvl="3" w:tplc="9D1A685A" w:tentative="1">
      <w:start w:val="1"/>
      <w:numFmt w:val="bullet"/>
      <w:lvlText w:val=""/>
      <w:lvlJc w:val="left"/>
      <w:pPr>
        <w:ind w:left="2880" w:hanging="360"/>
      </w:pPr>
      <w:rPr>
        <w:rFonts w:ascii="Symbol" w:hAnsi="Symbol" w:hint="default"/>
      </w:rPr>
    </w:lvl>
    <w:lvl w:ilvl="4" w:tplc="DC80CD60" w:tentative="1">
      <w:start w:val="1"/>
      <w:numFmt w:val="bullet"/>
      <w:lvlText w:val="o"/>
      <w:lvlJc w:val="left"/>
      <w:pPr>
        <w:ind w:left="3600" w:hanging="360"/>
      </w:pPr>
      <w:rPr>
        <w:rFonts w:ascii="Courier New" w:hAnsi="Courier New" w:cs="Courier New" w:hint="default"/>
      </w:rPr>
    </w:lvl>
    <w:lvl w:ilvl="5" w:tplc="98E078D6" w:tentative="1">
      <w:start w:val="1"/>
      <w:numFmt w:val="bullet"/>
      <w:lvlText w:val=""/>
      <w:lvlJc w:val="left"/>
      <w:pPr>
        <w:ind w:left="4320" w:hanging="360"/>
      </w:pPr>
      <w:rPr>
        <w:rFonts w:ascii="Wingdings" w:hAnsi="Wingdings" w:hint="default"/>
      </w:rPr>
    </w:lvl>
    <w:lvl w:ilvl="6" w:tplc="35E4D6EE" w:tentative="1">
      <w:start w:val="1"/>
      <w:numFmt w:val="bullet"/>
      <w:lvlText w:val=""/>
      <w:lvlJc w:val="left"/>
      <w:pPr>
        <w:ind w:left="5040" w:hanging="360"/>
      </w:pPr>
      <w:rPr>
        <w:rFonts w:ascii="Symbol" w:hAnsi="Symbol" w:hint="default"/>
      </w:rPr>
    </w:lvl>
    <w:lvl w:ilvl="7" w:tplc="EFBC82D8" w:tentative="1">
      <w:start w:val="1"/>
      <w:numFmt w:val="bullet"/>
      <w:lvlText w:val="o"/>
      <w:lvlJc w:val="left"/>
      <w:pPr>
        <w:ind w:left="5760" w:hanging="360"/>
      </w:pPr>
      <w:rPr>
        <w:rFonts w:ascii="Courier New" w:hAnsi="Courier New" w:cs="Courier New" w:hint="default"/>
      </w:rPr>
    </w:lvl>
    <w:lvl w:ilvl="8" w:tplc="30BC0172" w:tentative="1">
      <w:start w:val="1"/>
      <w:numFmt w:val="bullet"/>
      <w:lvlText w:val=""/>
      <w:lvlJc w:val="left"/>
      <w:pPr>
        <w:ind w:left="6480" w:hanging="360"/>
      </w:pPr>
      <w:rPr>
        <w:rFonts w:ascii="Wingdings" w:hAnsi="Wingdings" w:hint="default"/>
      </w:rPr>
    </w:lvl>
  </w:abstractNum>
  <w:abstractNum w:abstractNumId="2" w15:restartNumberingAfterBreak="0">
    <w:nsid w:val="461847F9"/>
    <w:multiLevelType w:val="hybridMultilevel"/>
    <w:tmpl w:val="BCF0CC32"/>
    <w:lvl w:ilvl="0" w:tplc="2482FE5C">
      <w:start w:val="1"/>
      <w:numFmt w:val="bullet"/>
      <w:lvlText w:val=""/>
      <w:lvlJc w:val="left"/>
      <w:pPr>
        <w:tabs>
          <w:tab w:val="num" w:pos="720"/>
        </w:tabs>
        <w:ind w:left="720" w:hanging="360"/>
      </w:pPr>
      <w:rPr>
        <w:rFonts w:ascii="Symbol" w:hAnsi="Symbol" w:hint="default"/>
      </w:rPr>
    </w:lvl>
    <w:lvl w:ilvl="1" w:tplc="B46E8760">
      <w:start w:val="1"/>
      <w:numFmt w:val="bullet"/>
      <w:lvlText w:val="o"/>
      <w:lvlJc w:val="left"/>
      <w:pPr>
        <w:ind w:left="1440" w:hanging="360"/>
      </w:pPr>
      <w:rPr>
        <w:rFonts w:ascii="Courier New" w:hAnsi="Courier New" w:cs="Courier New" w:hint="default"/>
      </w:rPr>
    </w:lvl>
    <w:lvl w:ilvl="2" w:tplc="F72C0810" w:tentative="1">
      <w:start w:val="1"/>
      <w:numFmt w:val="bullet"/>
      <w:lvlText w:val=""/>
      <w:lvlJc w:val="left"/>
      <w:pPr>
        <w:ind w:left="2160" w:hanging="360"/>
      </w:pPr>
      <w:rPr>
        <w:rFonts w:ascii="Wingdings" w:hAnsi="Wingdings" w:hint="default"/>
      </w:rPr>
    </w:lvl>
    <w:lvl w:ilvl="3" w:tplc="D12E8FD4" w:tentative="1">
      <w:start w:val="1"/>
      <w:numFmt w:val="bullet"/>
      <w:lvlText w:val=""/>
      <w:lvlJc w:val="left"/>
      <w:pPr>
        <w:ind w:left="2880" w:hanging="360"/>
      </w:pPr>
      <w:rPr>
        <w:rFonts w:ascii="Symbol" w:hAnsi="Symbol" w:hint="default"/>
      </w:rPr>
    </w:lvl>
    <w:lvl w:ilvl="4" w:tplc="5E12662A" w:tentative="1">
      <w:start w:val="1"/>
      <w:numFmt w:val="bullet"/>
      <w:lvlText w:val="o"/>
      <w:lvlJc w:val="left"/>
      <w:pPr>
        <w:ind w:left="3600" w:hanging="360"/>
      </w:pPr>
      <w:rPr>
        <w:rFonts w:ascii="Courier New" w:hAnsi="Courier New" w:cs="Courier New" w:hint="default"/>
      </w:rPr>
    </w:lvl>
    <w:lvl w:ilvl="5" w:tplc="D2F21B9E" w:tentative="1">
      <w:start w:val="1"/>
      <w:numFmt w:val="bullet"/>
      <w:lvlText w:val=""/>
      <w:lvlJc w:val="left"/>
      <w:pPr>
        <w:ind w:left="4320" w:hanging="360"/>
      </w:pPr>
      <w:rPr>
        <w:rFonts w:ascii="Wingdings" w:hAnsi="Wingdings" w:hint="default"/>
      </w:rPr>
    </w:lvl>
    <w:lvl w:ilvl="6" w:tplc="DD34A568" w:tentative="1">
      <w:start w:val="1"/>
      <w:numFmt w:val="bullet"/>
      <w:lvlText w:val=""/>
      <w:lvlJc w:val="left"/>
      <w:pPr>
        <w:ind w:left="5040" w:hanging="360"/>
      </w:pPr>
      <w:rPr>
        <w:rFonts w:ascii="Symbol" w:hAnsi="Symbol" w:hint="default"/>
      </w:rPr>
    </w:lvl>
    <w:lvl w:ilvl="7" w:tplc="312E3490" w:tentative="1">
      <w:start w:val="1"/>
      <w:numFmt w:val="bullet"/>
      <w:lvlText w:val="o"/>
      <w:lvlJc w:val="left"/>
      <w:pPr>
        <w:ind w:left="5760" w:hanging="360"/>
      </w:pPr>
      <w:rPr>
        <w:rFonts w:ascii="Courier New" w:hAnsi="Courier New" w:cs="Courier New" w:hint="default"/>
      </w:rPr>
    </w:lvl>
    <w:lvl w:ilvl="8" w:tplc="E5A4861A" w:tentative="1">
      <w:start w:val="1"/>
      <w:numFmt w:val="bullet"/>
      <w:lvlText w:val=""/>
      <w:lvlJc w:val="left"/>
      <w:pPr>
        <w:ind w:left="6480" w:hanging="360"/>
      </w:pPr>
      <w:rPr>
        <w:rFonts w:ascii="Wingdings" w:hAnsi="Wingdings" w:hint="default"/>
      </w:rPr>
    </w:lvl>
  </w:abstractNum>
  <w:abstractNum w:abstractNumId="3" w15:restartNumberingAfterBreak="0">
    <w:nsid w:val="79016A24"/>
    <w:multiLevelType w:val="hybridMultilevel"/>
    <w:tmpl w:val="601EEE80"/>
    <w:lvl w:ilvl="0" w:tplc="0B7AA9A2">
      <w:start w:val="1"/>
      <w:numFmt w:val="bullet"/>
      <w:lvlText w:val=""/>
      <w:lvlJc w:val="left"/>
      <w:pPr>
        <w:tabs>
          <w:tab w:val="num" w:pos="720"/>
        </w:tabs>
        <w:ind w:left="720" w:hanging="360"/>
      </w:pPr>
      <w:rPr>
        <w:rFonts w:ascii="Symbol" w:hAnsi="Symbol" w:hint="default"/>
      </w:rPr>
    </w:lvl>
    <w:lvl w:ilvl="1" w:tplc="3C806D78" w:tentative="1">
      <w:start w:val="1"/>
      <w:numFmt w:val="bullet"/>
      <w:lvlText w:val="o"/>
      <w:lvlJc w:val="left"/>
      <w:pPr>
        <w:ind w:left="1440" w:hanging="360"/>
      </w:pPr>
      <w:rPr>
        <w:rFonts w:ascii="Courier New" w:hAnsi="Courier New" w:cs="Courier New" w:hint="default"/>
      </w:rPr>
    </w:lvl>
    <w:lvl w:ilvl="2" w:tplc="0100BC46" w:tentative="1">
      <w:start w:val="1"/>
      <w:numFmt w:val="bullet"/>
      <w:lvlText w:val=""/>
      <w:lvlJc w:val="left"/>
      <w:pPr>
        <w:ind w:left="2160" w:hanging="360"/>
      </w:pPr>
      <w:rPr>
        <w:rFonts w:ascii="Wingdings" w:hAnsi="Wingdings" w:hint="default"/>
      </w:rPr>
    </w:lvl>
    <w:lvl w:ilvl="3" w:tplc="3C62CE5C" w:tentative="1">
      <w:start w:val="1"/>
      <w:numFmt w:val="bullet"/>
      <w:lvlText w:val=""/>
      <w:lvlJc w:val="left"/>
      <w:pPr>
        <w:ind w:left="2880" w:hanging="360"/>
      </w:pPr>
      <w:rPr>
        <w:rFonts w:ascii="Symbol" w:hAnsi="Symbol" w:hint="default"/>
      </w:rPr>
    </w:lvl>
    <w:lvl w:ilvl="4" w:tplc="477A8A84" w:tentative="1">
      <w:start w:val="1"/>
      <w:numFmt w:val="bullet"/>
      <w:lvlText w:val="o"/>
      <w:lvlJc w:val="left"/>
      <w:pPr>
        <w:ind w:left="3600" w:hanging="360"/>
      </w:pPr>
      <w:rPr>
        <w:rFonts w:ascii="Courier New" w:hAnsi="Courier New" w:cs="Courier New" w:hint="default"/>
      </w:rPr>
    </w:lvl>
    <w:lvl w:ilvl="5" w:tplc="78B8B744" w:tentative="1">
      <w:start w:val="1"/>
      <w:numFmt w:val="bullet"/>
      <w:lvlText w:val=""/>
      <w:lvlJc w:val="left"/>
      <w:pPr>
        <w:ind w:left="4320" w:hanging="360"/>
      </w:pPr>
      <w:rPr>
        <w:rFonts w:ascii="Wingdings" w:hAnsi="Wingdings" w:hint="default"/>
      </w:rPr>
    </w:lvl>
    <w:lvl w:ilvl="6" w:tplc="52F8672C" w:tentative="1">
      <w:start w:val="1"/>
      <w:numFmt w:val="bullet"/>
      <w:lvlText w:val=""/>
      <w:lvlJc w:val="left"/>
      <w:pPr>
        <w:ind w:left="5040" w:hanging="360"/>
      </w:pPr>
      <w:rPr>
        <w:rFonts w:ascii="Symbol" w:hAnsi="Symbol" w:hint="default"/>
      </w:rPr>
    </w:lvl>
    <w:lvl w:ilvl="7" w:tplc="8B781980" w:tentative="1">
      <w:start w:val="1"/>
      <w:numFmt w:val="bullet"/>
      <w:lvlText w:val="o"/>
      <w:lvlJc w:val="left"/>
      <w:pPr>
        <w:ind w:left="5760" w:hanging="360"/>
      </w:pPr>
      <w:rPr>
        <w:rFonts w:ascii="Courier New" w:hAnsi="Courier New" w:cs="Courier New" w:hint="default"/>
      </w:rPr>
    </w:lvl>
    <w:lvl w:ilvl="8" w:tplc="8D846BCE" w:tentative="1">
      <w:start w:val="1"/>
      <w:numFmt w:val="bullet"/>
      <w:lvlText w:val=""/>
      <w:lvlJc w:val="left"/>
      <w:pPr>
        <w:ind w:left="6480" w:hanging="360"/>
      </w:pPr>
      <w:rPr>
        <w:rFonts w:ascii="Wingdings" w:hAnsi="Wingdings" w:hint="default"/>
      </w:rPr>
    </w:lvl>
  </w:abstractNum>
  <w:abstractNum w:abstractNumId="4" w15:restartNumberingAfterBreak="0">
    <w:nsid w:val="7AA1564D"/>
    <w:multiLevelType w:val="hybridMultilevel"/>
    <w:tmpl w:val="27BA914C"/>
    <w:lvl w:ilvl="0" w:tplc="462ED390">
      <w:start w:val="1"/>
      <w:numFmt w:val="bullet"/>
      <w:lvlText w:val=""/>
      <w:lvlJc w:val="left"/>
      <w:pPr>
        <w:tabs>
          <w:tab w:val="num" w:pos="720"/>
        </w:tabs>
        <w:ind w:left="720" w:hanging="360"/>
      </w:pPr>
      <w:rPr>
        <w:rFonts w:ascii="Symbol" w:hAnsi="Symbol" w:hint="default"/>
      </w:rPr>
    </w:lvl>
    <w:lvl w:ilvl="1" w:tplc="D4CAD9F0" w:tentative="1">
      <w:start w:val="1"/>
      <w:numFmt w:val="bullet"/>
      <w:lvlText w:val="o"/>
      <w:lvlJc w:val="left"/>
      <w:pPr>
        <w:ind w:left="1440" w:hanging="360"/>
      </w:pPr>
      <w:rPr>
        <w:rFonts w:ascii="Courier New" w:hAnsi="Courier New" w:cs="Courier New" w:hint="default"/>
      </w:rPr>
    </w:lvl>
    <w:lvl w:ilvl="2" w:tplc="5BDC8200" w:tentative="1">
      <w:start w:val="1"/>
      <w:numFmt w:val="bullet"/>
      <w:lvlText w:val=""/>
      <w:lvlJc w:val="left"/>
      <w:pPr>
        <w:ind w:left="2160" w:hanging="360"/>
      </w:pPr>
      <w:rPr>
        <w:rFonts w:ascii="Wingdings" w:hAnsi="Wingdings" w:hint="default"/>
      </w:rPr>
    </w:lvl>
    <w:lvl w:ilvl="3" w:tplc="986288A4" w:tentative="1">
      <w:start w:val="1"/>
      <w:numFmt w:val="bullet"/>
      <w:lvlText w:val=""/>
      <w:lvlJc w:val="left"/>
      <w:pPr>
        <w:ind w:left="2880" w:hanging="360"/>
      </w:pPr>
      <w:rPr>
        <w:rFonts w:ascii="Symbol" w:hAnsi="Symbol" w:hint="default"/>
      </w:rPr>
    </w:lvl>
    <w:lvl w:ilvl="4" w:tplc="8618A63E" w:tentative="1">
      <w:start w:val="1"/>
      <w:numFmt w:val="bullet"/>
      <w:lvlText w:val="o"/>
      <w:lvlJc w:val="left"/>
      <w:pPr>
        <w:ind w:left="3600" w:hanging="360"/>
      </w:pPr>
      <w:rPr>
        <w:rFonts w:ascii="Courier New" w:hAnsi="Courier New" w:cs="Courier New" w:hint="default"/>
      </w:rPr>
    </w:lvl>
    <w:lvl w:ilvl="5" w:tplc="28E4042C" w:tentative="1">
      <w:start w:val="1"/>
      <w:numFmt w:val="bullet"/>
      <w:lvlText w:val=""/>
      <w:lvlJc w:val="left"/>
      <w:pPr>
        <w:ind w:left="4320" w:hanging="360"/>
      </w:pPr>
      <w:rPr>
        <w:rFonts w:ascii="Wingdings" w:hAnsi="Wingdings" w:hint="default"/>
      </w:rPr>
    </w:lvl>
    <w:lvl w:ilvl="6" w:tplc="6688F202" w:tentative="1">
      <w:start w:val="1"/>
      <w:numFmt w:val="bullet"/>
      <w:lvlText w:val=""/>
      <w:lvlJc w:val="left"/>
      <w:pPr>
        <w:ind w:left="5040" w:hanging="360"/>
      </w:pPr>
      <w:rPr>
        <w:rFonts w:ascii="Symbol" w:hAnsi="Symbol" w:hint="default"/>
      </w:rPr>
    </w:lvl>
    <w:lvl w:ilvl="7" w:tplc="DFCC4B58" w:tentative="1">
      <w:start w:val="1"/>
      <w:numFmt w:val="bullet"/>
      <w:lvlText w:val="o"/>
      <w:lvlJc w:val="left"/>
      <w:pPr>
        <w:ind w:left="5760" w:hanging="360"/>
      </w:pPr>
      <w:rPr>
        <w:rFonts w:ascii="Courier New" w:hAnsi="Courier New" w:cs="Courier New" w:hint="default"/>
      </w:rPr>
    </w:lvl>
    <w:lvl w:ilvl="8" w:tplc="DD5825D4" w:tentative="1">
      <w:start w:val="1"/>
      <w:numFmt w:val="bullet"/>
      <w:lvlText w:val=""/>
      <w:lvlJc w:val="left"/>
      <w:pPr>
        <w:ind w:left="6480" w:hanging="360"/>
      </w:pPr>
      <w:rPr>
        <w:rFonts w:ascii="Wingdings" w:hAnsi="Wingdings" w:hint="default"/>
      </w:rPr>
    </w:lvl>
  </w:abstractNum>
  <w:num w:numId="1" w16cid:durableId="1690058149">
    <w:abstractNumId w:val="3"/>
  </w:num>
  <w:num w:numId="2" w16cid:durableId="2014186344">
    <w:abstractNumId w:val="2"/>
  </w:num>
  <w:num w:numId="3" w16cid:durableId="840857604">
    <w:abstractNumId w:val="1"/>
  </w:num>
  <w:num w:numId="4" w16cid:durableId="711808242">
    <w:abstractNumId w:val="4"/>
  </w:num>
  <w:num w:numId="5" w16cid:durableId="53716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F3"/>
    <w:rsid w:val="0000059D"/>
    <w:rsid w:val="00000A70"/>
    <w:rsid w:val="000032B8"/>
    <w:rsid w:val="00003B06"/>
    <w:rsid w:val="000054B9"/>
    <w:rsid w:val="000061D5"/>
    <w:rsid w:val="00007461"/>
    <w:rsid w:val="0001117E"/>
    <w:rsid w:val="0001125F"/>
    <w:rsid w:val="0001338E"/>
    <w:rsid w:val="00013D24"/>
    <w:rsid w:val="00014AF0"/>
    <w:rsid w:val="000155D6"/>
    <w:rsid w:val="00015D4E"/>
    <w:rsid w:val="000208E3"/>
    <w:rsid w:val="00020C1E"/>
    <w:rsid w:val="00020E9B"/>
    <w:rsid w:val="000236C1"/>
    <w:rsid w:val="000236EC"/>
    <w:rsid w:val="0002413D"/>
    <w:rsid w:val="000249F2"/>
    <w:rsid w:val="00027E81"/>
    <w:rsid w:val="00030AD8"/>
    <w:rsid w:val="0003107A"/>
    <w:rsid w:val="00031C95"/>
    <w:rsid w:val="000330D4"/>
    <w:rsid w:val="0003572D"/>
    <w:rsid w:val="00035DB0"/>
    <w:rsid w:val="00036FCF"/>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ABB"/>
    <w:rsid w:val="000A54E0"/>
    <w:rsid w:val="000A5AF7"/>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60E0"/>
    <w:rsid w:val="000D769C"/>
    <w:rsid w:val="000E1976"/>
    <w:rsid w:val="000E20F1"/>
    <w:rsid w:val="000E3808"/>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7CA0"/>
    <w:rsid w:val="00120797"/>
    <w:rsid w:val="001218D2"/>
    <w:rsid w:val="0012371B"/>
    <w:rsid w:val="001245C8"/>
    <w:rsid w:val="00124653"/>
    <w:rsid w:val="001247C5"/>
    <w:rsid w:val="001249FF"/>
    <w:rsid w:val="00127893"/>
    <w:rsid w:val="001312BB"/>
    <w:rsid w:val="001346A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6C7A"/>
    <w:rsid w:val="001B053A"/>
    <w:rsid w:val="001B26D8"/>
    <w:rsid w:val="001B3BFA"/>
    <w:rsid w:val="001B75B8"/>
    <w:rsid w:val="001C1230"/>
    <w:rsid w:val="001C1E2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958"/>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B37"/>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666"/>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835"/>
    <w:rsid w:val="00303B0C"/>
    <w:rsid w:val="0030459C"/>
    <w:rsid w:val="00304C53"/>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B3F"/>
    <w:rsid w:val="00347B4A"/>
    <w:rsid w:val="003500C3"/>
    <w:rsid w:val="003523BD"/>
    <w:rsid w:val="00352681"/>
    <w:rsid w:val="003536AA"/>
    <w:rsid w:val="003544CE"/>
    <w:rsid w:val="00355A98"/>
    <w:rsid w:val="00355D45"/>
    <w:rsid w:val="00355D7E"/>
    <w:rsid w:val="003568DE"/>
    <w:rsid w:val="00357CA1"/>
    <w:rsid w:val="00361FE9"/>
    <w:rsid w:val="003624F2"/>
    <w:rsid w:val="00363854"/>
    <w:rsid w:val="00364315"/>
    <w:rsid w:val="003643E2"/>
    <w:rsid w:val="00370155"/>
    <w:rsid w:val="003712D5"/>
    <w:rsid w:val="003747DF"/>
    <w:rsid w:val="00374954"/>
    <w:rsid w:val="00377E3D"/>
    <w:rsid w:val="003847E8"/>
    <w:rsid w:val="003851BB"/>
    <w:rsid w:val="00385C4E"/>
    <w:rsid w:val="0038731D"/>
    <w:rsid w:val="00387B60"/>
    <w:rsid w:val="00390098"/>
    <w:rsid w:val="00392DA1"/>
    <w:rsid w:val="00393718"/>
    <w:rsid w:val="003944BF"/>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2286"/>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6EC"/>
    <w:rsid w:val="004166BB"/>
    <w:rsid w:val="004174CD"/>
    <w:rsid w:val="00422039"/>
    <w:rsid w:val="00423FBC"/>
    <w:rsid w:val="004241AA"/>
    <w:rsid w:val="0042422E"/>
    <w:rsid w:val="0043190E"/>
    <w:rsid w:val="004324E9"/>
    <w:rsid w:val="004350F3"/>
    <w:rsid w:val="00436980"/>
    <w:rsid w:val="00441016"/>
    <w:rsid w:val="00441F2F"/>
    <w:rsid w:val="0044228B"/>
    <w:rsid w:val="00443034"/>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0DA"/>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B7AD1"/>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CA2"/>
    <w:rsid w:val="005017AC"/>
    <w:rsid w:val="00501E8A"/>
    <w:rsid w:val="00505121"/>
    <w:rsid w:val="00505C04"/>
    <w:rsid w:val="00505F1B"/>
    <w:rsid w:val="005073E8"/>
    <w:rsid w:val="00510503"/>
    <w:rsid w:val="0051324D"/>
    <w:rsid w:val="005152BA"/>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57657"/>
    <w:rsid w:val="00561528"/>
    <w:rsid w:val="0056153F"/>
    <w:rsid w:val="00561B14"/>
    <w:rsid w:val="00562437"/>
    <w:rsid w:val="00562C87"/>
    <w:rsid w:val="005636BD"/>
    <w:rsid w:val="005666D5"/>
    <w:rsid w:val="005669A7"/>
    <w:rsid w:val="00567181"/>
    <w:rsid w:val="00572FCA"/>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574"/>
    <w:rsid w:val="005B3C13"/>
    <w:rsid w:val="005B49BD"/>
    <w:rsid w:val="005B5516"/>
    <w:rsid w:val="005B5D2B"/>
    <w:rsid w:val="005B64AF"/>
    <w:rsid w:val="005C1496"/>
    <w:rsid w:val="005C17C5"/>
    <w:rsid w:val="005C2B21"/>
    <w:rsid w:val="005C2C00"/>
    <w:rsid w:val="005C4C6F"/>
    <w:rsid w:val="005C5127"/>
    <w:rsid w:val="005C7CCB"/>
    <w:rsid w:val="005D1444"/>
    <w:rsid w:val="005D4DAE"/>
    <w:rsid w:val="005D767D"/>
    <w:rsid w:val="005D7A30"/>
    <w:rsid w:val="005D7D3B"/>
    <w:rsid w:val="005E0CD0"/>
    <w:rsid w:val="005E1999"/>
    <w:rsid w:val="005E232C"/>
    <w:rsid w:val="005E2B83"/>
    <w:rsid w:val="005E4AEB"/>
    <w:rsid w:val="005E655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29A"/>
    <w:rsid w:val="00606609"/>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9C7"/>
    <w:rsid w:val="006402E7"/>
    <w:rsid w:val="00640CB6"/>
    <w:rsid w:val="00641B42"/>
    <w:rsid w:val="00645750"/>
    <w:rsid w:val="00650692"/>
    <w:rsid w:val="006508D3"/>
    <w:rsid w:val="00650AFA"/>
    <w:rsid w:val="00662B77"/>
    <w:rsid w:val="00662D0E"/>
    <w:rsid w:val="00663265"/>
    <w:rsid w:val="0066345F"/>
    <w:rsid w:val="0066370B"/>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462"/>
    <w:rsid w:val="006B129D"/>
    <w:rsid w:val="006B12AE"/>
    <w:rsid w:val="006B16B3"/>
    <w:rsid w:val="006B1918"/>
    <w:rsid w:val="006B233E"/>
    <w:rsid w:val="006B23D8"/>
    <w:rsid w:val="006B28D5"/>
    <w:rsid w:val="006B2A01"/>
    <w:rsid w:val="006B2B8C"/>
    <w:rsid w:val="006B2DEB"/>
    <w:rsid w:val="006B54C5"/>
    <w:rsid w:val="006B56B1"/>
    <w:rsid w:val="006B5E80"/>
    <w:rsid w:val="006B7A2E"/>
    <w:rsid w:val="006C271C"/>
    <w:rsid w:val="006C4709"/>
    <w:rsid w:val="006C73C3"/>
    <w:rsid w:val="006D3005"/>
    <w:rsid w:val="006D504F"/>
    <w:rsid w:val="006E0505"/>
    <w:rsid w:val="006E0CAC"/>
    <w:rsid w:val="006E1CFB"/>
    <w:rsid w:val="006E1F94"/>
    <w:rsid w:val="006E26C1"/>
    <w:rsid w:val="006E30A8"/>
    <w:rsid w:val="006E45B0"/>
    <w:rsid w:val="006E5692"/>
    <w:rsid w:val="006F365D"/>
    <w:rsid w:val="006F4BB0"/>
    <w:rsid w:val="006F6571"/>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3DB4"/>
    <w:rsid w:val="00755C7B"/>
    <w:rsid w:val="00764786"/>
    <w:rsid w:val="00766E12"/>
    <w:rsid w:val="0077098E"/>
    <w:rsid w:val="00771287"/>
    <w:rsid w:val="0077149E"/>
    <w:rsid w:val="00777518"/>
    <w:rsid w:val="0077779E"/>
    <w:rsid w:val="00780FB6"/>
    <w:rsid w:val="0078484B"/>
    <w:rsid w:val="0078552A"/>
    <w:rsid w:val="00785729"/>
    <w:rsid w:val="00786058"/>
    <w:rsid w:val="00786AD3"/>
    <w:rsid w:val="0079487D"/>
    <w:rsid w:val="007966D4"/>
    <w:rsid w:val="00796A0A"/>
    <w:rsid w:val="0079792C"/>
    <w:rsid w:val="007A0989"/>
    <w:rsid w:val="007A1461"/>
    <w:rsid w:val="007A331F"/>
    <w:rsid w:val="007A3844"/>
    <w:rsid w:val="007A4381"/>
    <w:rsid w:val="007A4600"/>
    <w:rsid w:val="007A5466"/>
    <w:rsid w:val="007A7EC1"/>
    <w:rsid w:val="007B30D3"/>
    <w:rsid w:val="007B4FCA"/>
    <w:rsid w:val="007B7B85"/>
    <w:rsid w:val="007C462E"/>
    <w:rsid w:val="007C496B"/>
    <w:rsid w:val="007C6803"/>
    <w:rsid w:val="007D2892"/>
    <w:rsid w:val="007D2DCC"/>
    <w:rsid w:val="007D47E1"/>
    <w:rsid w:val="007D7FCB"/>
    <w:rsid w:val="007E33B6"/>
    <w:rsid w:val="007E3F80"/>
    <w:rsid w:val="007E59E8"/>
    <w:rsid w:val="007F3861"/>
    <w:rsid w:val="007F4162"/>
    <w:rsid w:val="007F5441"/>
    <w:rsid w:val="007F725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070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5AC8"/>
    <w:rsid w:val="008861EE"/>
    <w:rsid w:val="00890181"/>
    <w:rsid w:val="00890B59"/>
    <w:rsid w:val="008930D7"/>
    <w:rsid w:val="008947A7"/>
    <w:rsid w:val="008949FA"/>
    <w:rsid w:val="00897E80"/>
    <w:rsid w:val="008A04FA"/>
    <w:rsid w:val="008A3188"/>
    <w:rsid w:val="008A3FDF"/>
    <w:rsid w:val="008A6418"/>
    <w:rsid w:val="008B05D8"/>
    <w:rsid w:val="008B0B3D"/>
    <w:rsid w:val="008B2B1A"/>
    <w:rsid w:val="008B3428"/>
    <w:rsid w:val="008B4A91"/>
    <w:rsid w:val="008B628A"/>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1A02"/>
    <w:rsid w:val="00915568"/>
    <w:rsid w:val="00917E0C"/>
    <w:rsid w:val="00920711"/>
    <w:rsid w:val="00921A1E"/>
    <w:rsid w:val="00924EA9"/>
    <w:rsid w:val="00925B12"/>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3D22"/>
    <w:rsid w:val="00976837"/>
    <w:rsid w:val="00980311"/>
    <w:rsid w:val="0098170E"/>
    <w:rsid w:val="0098285C"/>
    <w:rsid w:val="00983B56"/>
    <w:rsid w:val="009842A3"/>
    <w:rsid w:val="009847FD"/>
    <w:rsid w:val="009851B3"/>
    <w:rsid w:val="00985300"/>
    <w:rsid w:val="00985FB3"/>
    <w:rsid w:val="00986720"/>
    <w:rsid w:val="00987F00"/>
    <w:rsid w:val="00990C46"/>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DF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4AAD"/>
    <w:rsid w:val="00A26A8A"/>
    <w:rsid w:val="00A27255"/>
    <w:rsid w:val="00A32304"/>
    <w:rsid w:val="00A3420E"/>
    <w:rsid w:val="00A35D66"/>
    <w:rsid w:val="00A37E6F"/>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515F"/>
    <w:rsid w:val="00A803CF"/>
    <w:rsid w:val="00A8133F"/>
    <w:rsid w:val="00A82CB4"/>
    <w:rsid w:val="00A837A8"/>
    <w:rsid w:val="00A83C36"/>
    <w:rsid w:val="00A932BB"/>
    <w:rsid w:val="00A93579"/>
    <w:rsid w:val="00A93934"/>
    <w:rsid w:val="00A95647"/>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57ED"/>
    <w:rsid w:val="00AF7C74"/>
    <w:rsid w:val="00B000AF"/>
    <w:rsid w:val="00B047D1"/>
    <w:rsid w:val="00B04E79"/>
    <w:rsid w:val="00B07488"/>
    <w:rsid w:val="00B075A2"/>
    <w:rsid w:val="00B10DD2"/>
    <w:rsid w:val="00B115DC"/>
    <w:rsid w:val="00B11952"/>
    <w:rsid w:val="00B12E38"/>
    <w:rsid w:val="00B13B24"/>
    <w:rsid w:val="00B149AC"/>
    <w:rsid w:val="00B14BD2"/>
    <w:rsid w:val="00B1557F"/>
    <w:rsid w:val="00B1668D"/>
    <w:rsid w:val="00B17981"/>
    <w:rsid w:val="00B20CAD"/>
    <w:rsid w:val="00B233BB"/>
    <w:rsid w:val="00B24745"/>
    <w:rsid w:val="00B25612"/>
    <w:rsid w:val="00B26437"/>
    <w:rsid w:val="00B2678E"/>
    <w:rsid w:val="00B30647"/>
    <w:rsid w:val="00B31F0E"/>
    <w:rsid w:val="00B34F25"/>
    <w:rsid w:val="00B43672"/>
    <w:rsid w:val="00B473D8"/>
    <w:rsid w:val="00B47464"/>
    <w:rsid w:val="00B5165A"/>
    <w:rsid w:val="00B524C1"/>
    <w:rsid w:val="00B52C8D"/>
    <w:rsid w:val="00B53FEA"/>
    <w:rsid w:val="00B564BF"/>
    <w:rsid w:val="00B6104E"/>
    <w:rsid w:val="00B610C7"/>
    <w:rsid w:val="00B62106"/>
    <w:rsid w:val="00B626A8"/>
    <w:rsid w:val="00B65695"/>
    <w:rsid w:val="00B66526"/>
    <w:rsid w:val="00B665A3"/>
    <w:rsid w:val="00B73BB4"/>
    <w:rsid w:val="00B80532"/>
    <w:rsid w:val="00B819DA"/>
    <w:rsid w:val="00B82039"/>
    <w:rsid w:val="00B82454"/>
    <w:rsid w:val="00B90097"/>
    <w:rsid w:val="00B90999"/>
    <w:rsid w:val="00B91AD7"/>
    <w:rsid w:val="00B92D23"/>
    <w:rsid w:val="00B9497C"/>
    <w:rsid w:val="00B95BC8"/>
    <w:rsid w:val="00B96E87"/>
    <w:rsid w:val="00BA146A"/>
    <w:rsid w:val="00BA32EE"/>
    <w:rsid w:val="00BB5B36"/>
    <w:rsid w:val="00BC027B"/>
    <w:rsid w:val="00BC30A6"/>
    <w:rsid w:val="00BC3ED3"/>
    <w:rsid w:val="00BC3EF6"/>
    <w:rsid w:val="00BC4E34"/>
    <w:rsid w:val="00BC51D0"/>
    <w:rsid w:val="00BC5633"/>
    <w:rsid w:val="00BC5677"/>
    <w:rsid w:val="00BC58E1"/>
    <w:rsid w:val="00BC59CA"/>
    <w:rsid w:val="00BC6462"/>
    <w:rsid w:val="00BD0311"/>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3ED"/>
    <w:rsid w:val="00C35CC5"/>
    <w:rsid w:val="00C361C5"/>
    <w:rsid w:val="00C377D1"/>
    <w:rsid w:val="00C37BDA"/>
    <w:rsid w:val="00C37C84"/>
    <w:rsid w:val="00C42B41"/>
    <w:rsid w:val="00C46166"/>
    <w:rsid w:val="00C4710D"/>
    <w:rsid w:val="00C50CAD"/>
    <w:rsid w:val="00C56025"/>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4DDA"/>
    <w:rsid w:val="00CA5E5E"/>
    <w:rsid w:val="00CA7D7B"/>
    <w:rsid w:val="00CB0131"/>
    <w:rsid w:val="00CB0AE4"/>
    <w:rsid w:val="00CB0C21"/>
    <w:rsid w:val="00CB0D1A"/>
    <w:rsid w:val="00CB3627"/>
    <w:rsid w:val="00CB4B4B"/>
    <w:rsid w:val="00CB4B73"/>
    <w:rsid w:val="00CB74CB"/>
    <w:rsid w:val="00CB7E04"/>
    <w:rsid w:val="00CC2113"/>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107"/>
    <w:rsid w:val="00CF4827"/>
    <w:rsid w:val="00CF4C69"/>
    <w:rsid w:val="00CF581C"/>
    <w:rsid w:val="00CF71E0"/>
    <w:rsid w:val="00D001B1"/>
    <w:rsid w:val="00D03176"/>
    <w:rsid w:val="00D060A8"/>
    <w:rsid w:val="00D06605"/>
    <w:rsid w:val="00D0720F"/>
    <w:rsid w:val="00D074E2"/>
    <w:rsid w:val="00D11B0B"/>
    <w:rsid w:val="00D12A3E"/>
    <w:rsid w:val="00D171E2"/>
    <w:rsid w:val="00D22160"/>
    <w:rsid w:val="00D22172"/>
    <w:rsid w:val="00D2301B"/>
    <w:rsid w:val="00D23628"/>
    <w:rsid w:val="00D239EE"/>
    <w:rsid w:val="00D30534"/>
    <w:rsid w:val="00D339D2"/>
    <w:rsid w:val="00D34A27"/>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3A4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072"/>
    <w:rsid w:val="00DD5BCC"/>
    <w:rsid w:val="00DD7509"/>
    <w:rsid w:val="00DD79C7"/>
    <w:rsid w:val="00DD7D6E"/>
    <w:rsid w:val="00DE1655"/>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3C1"/>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F19"/>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2477"/>
    <w:rsid w:val="00EC379B"/>
    <w:rsid w:val="00EC37DF"/>
    <w:rsid w:val="00EC3A99"/>
    <w:rsid w:val="00EC41B1"/>
    <w:rsid w:val="00EC5E21"/>
    <w:rsid w:val="00ED0665"/>
    <w:rsid w:val="00ED12C0"/>
    <w:rsid w:val="00ED19F0"/>
    <w:rsid w:val="00ED2B50"/>
    <w:rsid w:val="00ED3A32"/>
    <w:rsid w:val="00ED3BDE"/>
    <w:rsid w:val="00ED6035"/>
    <w:rsid w:val="00ED68FB"/>
    <w:rsid w:val="00ED783A"/>
    <w:rsid w:val="00EE2E34"/>
    <w:rsid w:val="00EE2E91"/>
    <w:rsid w:val="00EE3370"/>
    <w:rsid w:val="00EE43A2"/>
    <w:rsid w:val="00EE46B7"/>
    <w:rsid w:val="00EE5A49"/>
    <w:rsid w:val="00EE664B"/>
    <w:rsid w:val="00EF10BA"/>
    <w:rsid w:val="00EF156E"/>
    <w:rsid w:val="00EF1738"/>
    <w:rsid w:val="00EF2442"/>
    <w:rsid w:val="00EF2BAF"/>
    <w:rsid w:val="00EF3B8F"/>
    <w:rsid w:val="00EF543E"/>
    <w:rsid w:val="00EF559F"/>
    <w:rsid w:val="00EF5AA2"/>
    <w:rsid w:val="00EF7E26"/>
    <w:rsid w:val="00F01DFA"/>
    <w:rsid w:val="00F02096"/>
    <w:rsid w:val="00F02457"/>
    <w:rsid w:val="00F036C3"/>
    <w:rsid w:val="00F0417E"/>
    <w:rsid w:val="00F046A0"/>
    <w:rsid w:val="00F05397"/>
    <w:rsid w:val="00F0638C"/>
    <w:rsid w:val="00F11E04"/>
    <w:rsid w:val="00F12B24"/>
    <w:rsid w:val="00F12BC7"/>
    <w:rsid w:val="00F15223"/>
    <w:rsid w:val="00F164B4"/>
    <w:rsid w:val="00F176E4"/>
    <w:rsid w:val="00F20E5F"/>
    <w:rsid w:val="00F25C26"/>
    <w:rsid w:val="00F25CC2"/>
    <w:rsid w:val="00F27573"/>
    <w:rsid w:val="00F27CCF"/>
    <w:rsid w:val="00F307B6"/>
    <w:rsid w:val="00F30EB8"/>
    <w:rsid w:val="00F31876"/>
    <w:rsid w:val="00F31C67"/>
    <w:rsid w:val="00F32BEC"/>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6910"/>
    <w:rsid w:val="00F6514B"/>
    <w:rsid w:val="00F6533E"/>
    <w:rsid w:val="00F6587F"/>
    <w:rsid w:val="00F67981"/>
    <w:rsid w:val="00F706CA"/>
    <w:rsid w:val="00F70952"/>
    <w:rsid w:val="00F70F8D"/>
    <w:rsid w:val="00F71903"/>
    <w:rsid w:val="00F71C5A"/>
    <w:rsid w:val="00F733A4"/>
    <w:rsid w:val="00F7758F"/>
    <w:rsid w:val="00F82811"/>
    <w:rsid w:val="00F83F8D"/>
    <w:rsid w:val="00F84153"/>
    <w:rsid w:val="00F85661"/>
    <w:rsid w:val="00F96540"/>
    <w:rsid w:val="00F96602"/>
    <w:rsid w:val="00F9735A"/>
    <w:rsid w:val="00FA0695"/>
    <w:rsid w:val="00FA32FC"/>
    <w:rsid w:val="00FA59FD"/>
    <w:rsid w:val="00FA5D8C"/>
    <w:rsid w:val="00FA6403"/>
    <w:rsid w:val="00FB16CD"/>
    <w:rsid w:val="00FB586C"/>
    <w:rsid w:val="00FB73AE"/>
    <w:rsid w:val="00FC23F3"/>
    <w:rsid w:val="00FC5388"/>
    <w:rsid w:val="00FC726C"/>
    <w:rsid w:val="00FD1B4B"/>
    <w:rsid w:val="00FD1B94"/>
    <w:rsid w:val="00FE19C5"/>
    <w:rsid w:val="00FE260F"/>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26D809-56BB-42BB-ADE7-95D1EDF0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249FF"/>
    <w:rPr>
      <w:sz w:val="16"/>
      <w:szCs w:val="16"/>
    </w:rPr>
  </w:style>
  <w:style w:type="paragraph" w:styleId="CommentText">
    <w:name w:val="annotation text"/>
    <w:basedOn w:val="Normal"/>
    <w:link w:val="CommentTextChar"/>
    <w:unhideWhenUsed/>
    <w:rsid w:val="001249FF"/>
    <w:rPr>
      <w:sz w:val="20"/>
      <w:szCs w:val="20"/>
    </w:rPr>
  </w:style>
  <w:style w:type="character" w:customStyle="1" w:styleId="CommentTextChar">
    <w:name w:val="Comment Text Char"/>
    <w:basedOn w:val="DefaultParagraphFont"/>
    <w:link w:val="CommentText"/>
    <w:rsid w:val="001249FF"/>
  </w:style>
  <w:style w:type="paragraph" w:styleId="CommentSubject">
    <w:name w:val="annotation subject"/>
    <w:basedOn w:val="CommentText"/>
    <w:next w:val="CommentText"/>
    <w:link w:val="CommentSubjectChar"/>
    <w:semiHidden/>
    <w:unhideWhenUsed/>
    <w:rsid w:val="001249FF"/>
    <w:rPr>
      <w:b/>
      <w:bCs/>
    </w:rPr>
  </w:style>
  <w:style w:type="character" w:customStyle="1" w:styleId="CommentSubjectChar">
    <w:name w:val="Comment Subject Char"/>
    <w:basedOn w:val="CommentTextChar"/>
    <w:link w:val="CommentSubject"/>
    <w:semiHidden/>
    <w:rsid w:val="001249FF"/>
    <w:rPr>
      <w:b/>
      <w:bCs/>
    </w:rPr>
  </w:style>
  <w:style w:type="paragraph" w:styleId="Revision">
    <w:name w:val="Revision"/>
    <w:hidden/>
    <w:uiPriority w:val="99"/>
    <w:semiHidden/>
    <w:rsid w:val="00F56910"/>
    <w:rPr>
      <w:sz w:val="24"/>
      <w:szCs w:val="24"/>
    </w:rPr>
  </w:style>
  <w:style w:type="paragraph" w:styleId="ListParagraph">
    <w:name w:val="List Paragraph"/>
    <w:basedOn w:val="Normal"/>
    <w:uiPriority w:val="34"/>
    <w:qFormat/>
    <w:rsid w:val="00CA4DDA"/>
    <w:pPr>
      <w:ind w:left="720"/>
      <w:contextualSpacing/>
    </w:pPr>
  </w:style>
  <w:style w:type="character" w:styleId="Hyperlink">
    <w:name w:val="Hyperlink"/>
    <w:basedOn w:val="DefaultParagraphFont"/>
    <w:unhideWhenUsed/>
    <w:rsid w:val="00303835"/>
    <w:rPr>
      <w:color w:val="0000FF" w:themeColor="hyperlink"/>
      <w:u w:val="single"/>
    </w:rPr>
  </w:style>
  <w:style w:type="character" w:customStyle="1" w:styleId="UnresolvedMention1">
    <w:name w:val="Unresolved Mention1"/>
    <w:basedOn w:val="DefaultParagraphFont"/>
    <w:uiPriority w:val="99"/>
    <w:semiHidden/>
    <w:unhideWhenUsed/>
    <w:rsid w:val="00303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1669</Words>
  <Characters>9116</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BA - SB00034 (Committee Report (Substituted))</vt:lpstr>
    </vt:vector>
  </TitlesOfParts>
  <Company>State of Texas</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30916</dc:subject>
  <dc:creator>State of Texas</dc:creator>
  <dc:description>SB 34 by Sparks-(H)State Affairs (Substitute Document Number: 89R 29385)</dc:description>
  <cp:lastModifiedBy>Damian Duarte</cp:lastModifiedBy>
  <cp:revision>2</cp:revision>
  <cp:lastPrinted>2003-11-26T17:21:00Z</cp:lastPrinted>
  <dcterms:created xsi:type="dcterms:W3CDTF">2025-05-14T21:30:00Z</dcterms:created>
  <dcterms:modified xsi:type="dcterms:W3CDTF">2025-05-14T21:30:00Z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25.134.519</vt:lpwstr>
  </property>
</Properties>
</file>