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3F71" w:rsidRDefault="00573F71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9725658E27664B3AA76FF763CE7C1FC2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573F71" w:rsidRPr="00585C31" w:rsidRDefault="00573F71" w:rsidP="000F1DF9">
      <w:pPr>
        <w:spacing w:after="0" w:line="240" w:lineRule="auto"/>
        <w:rPr>
          <w:rFonts w:cs="Times New Roman"/>
          <w:szCs w:val="24"/>
        </w:rPr>
      </w:pPr>
    </w:p>
    <w:p w:rsidR="00573F71" w:rsidRPr="00585C31" w:rsidRDefault="00573F71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573F71" w:rsidTr="000F1DF9">
        <w:tc>
          <w:tcPr>
            <w:tcW w:w="2718" w:type="dxa"/>
          </w:tcPr>
          <w:p w:rsidR="00573F71" w:rsidRPr="005C2A78" w:rsidRDefault="00573F71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90E1872C7E194D5594C46F7155B0A3BB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573F71" w:rsidRPr="00FF6471" w:rsidRDefault="00573F71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96C6E456AB7D432C83A93E350DB7874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467</w:t>
                </w:r>
              </w:sdtContent>
            </w:sdt>
          </w:p>
        </w:tc>
      </w:tr>
      <w:tr w:rsidR="00573F71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CAC876621E844EEDAA4B42C3A62939D9"/>
            </w:placeholder>
            <w:showingPlcHdr/>
          </w:sdtPr>
          <w:sdtContent>
            <w:tc>
              <w:tcPr>
                <w:tcW w:w="2718" w:type="dxa"/>
              </w:tcPr>
              <w:p w:rsidR="00573F71" w:rsidRPr="000F1DF9" w:rsidRDefault="00573F71" w:rsidP="00C65088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573F71" w:rsidRPr="005C2A78" w:rsidRDefault="00573F71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F95028BE81AE4703B14DF535E8278BA9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9F783E8DFE964131B7EF4EA3B405570E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Paxton; Zaffirini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644C93CF651149B59EE8A176CA038468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0524E2293AC4426DAE89B51BBAF485AA"/>
                </w:placeholder>
                <w:showingPlcHdr/>
              </w:sdtPr>
              <w:sdtContent/>
            </w:sdt>
          </w:p>
        </w:tc>
      </w:tr>
      <w:tr w:rsidR="00573F71" w:rsidTr="000F1DF9">
        <w:tc>
          <w:tcPr>
            <w:tcW w:w="2718" w:type="dxa"/>
          </w:tcPr>
          <w:p w:rsidR="00573F71" w:rsidRPr="00BC7495" w:rsidRDefault="00573F7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C3E62389A22547ECA28D9A051B2FE1FC"/>
            </w:placeholder>
          </w:sdtPr>
          <w:sdtContent>
            <w:tc>
              <w:tcPr>
                <w:tcW w:w="6858" w:type="dxa"/>
              </w:tcPr>
              <w:p w:rsidR="00573F71" w:rsidRPr="00FF6471" w:rsidRDefault="00573F7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Local Government</w:t>
                </w:r>
              </w:p>
            </w:tc>
          </w:sdtContent>
        </w:sdt>
      </w:tr>
      <w:tr w:rsidR="00573F71" w:rsidTr="000F1DF9">
        <w:tc>
          <w:tcPr>
            <w:tcW w:w="2718" w:type="dxa"/>
          </w:tcPr>
          <w:p w:rsidR="00573F71" w:rsidRPr="00BC7495" w:rsidRDefault="00573F7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1C8624B8959044EB90D05CD7AB7FE7A9"/>
            </w:placeholder>
            <w:date w:fullDate="2025-07-22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573F71" w:rsidRPr="00FF6471" w:rsidRDefault="00573F7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7/22/2025</w:t>
                </w:r>
              </w:p>
            </w:tc>
          </w:sdtContent>
        </w:sdt>
      </w:tr>
      <w:tr w:rsidR="00573F71" w:rsidTr="000F1DF9">
        <w:tc>
          <w:tcPr>
            <w:tcW w:w="2718" w:type="dxa"/>
          </w:tcPr>
          <w:p w:rsidR="00573F71" w:rsidRPr="00BC7495" w:rsidRDefault="00573F71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92FE06BD7A7644C48454FC0F5FE5BAC4"/>
            </w:placeholder>
          </w:sdtPr>
          <w:sdtContent>
            <w:tc>
              <w:tcPr>
                <w:tcW w:w="6858" w:type="dxa"/>
              </w:tcPr>
              <w:p w:rsidR="00573F71" w:rsidRPr="00FF6471" w:rsidRDefault="00573F71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Enrolled</w:t>
                </w:r>
              </w:p>
            </w:tc>
          </w:sdtContent>
        </w:sdt>
      </w:tr>
    </w:tbl>
    <w:p w:rsidR="00573F71" w:rsidRPr="00FF6471" w:rsidRDefault="00573F71" w:rsidP="000F1DF9">
      <w:pPr>
        <w:spacing w:after="0" w:line="240" w:lineRule="auto"/>
        <w:rPr>
          <w:rFonts w:cs="Times New Roman"/>
          <w:szCs w:val="24"/>
        </w:rPr>
      </w:pPr>
    </w:p>
    <w:p w:rsidR="00573F71" w:rsidRPr="00FF6471" w:rsidRDefault="00573F71" w:rsidP="000F1DF9">
      <w:pPr>
        <w:spacing w:after="0" w:line="240" w:lineRule="auto"/>
        <w:rPr>
          <w:rFonts w:cs="Times New Roman"/>
          <w:szCs w:val="24"/>
        </w:rPr>
      </w:pPr>
    </w:p>
    <w:p w:rsidR="00573F71" w:rsidRPr="00FF6471" w:rsidRDefault="00573F71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FE2F9BD9057E4AC1819EF2D942E6F1E9"/>
        </w:placeholder>
      </w:sdtPr>
      <w:sdtContent>
        <w:p w:rsidR="00573F71" w:rsidRDefault="00573F71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0F55488CD941490B8ED33263D91851F1"/>
        </w:placeholder>
      </w:sdtPr>
      <w:sdtContent>
        <w:p w:rsidR="00573F71" w:rsidRDefault="00573F71" w:rsidP="00E17C7D">
          <w:pPr>
            <w:pStyle w:val="NormalWeb"/>
            <w:spacing w:before="0" w:beforeAutospacing="0" w:after="0" w:afterAutospacing="0"/>
            <w:jc w:val="both"/>
            <w:divId w:val="1237326258"/>
            <w:rPr>
              <w:rFonts w:eastAsia="Times New Roman" w:cstheme="minorBidi"/>
              <w:bCs/>
              <w:szCs w:val="22"/>
            </w:rPr>
          </w:pPr>
        </w:p>
        <w:p w:rsidR="00573F71" w:rsidRDefault="00573F71" w:rsidP="00E17C7D">
          <w:pPr>
            <w:pStyle w:val="NormalWeb"/>
            <w:spacing w:before="0" w:beforeAutospacing="0" w:after="0" w:afterAutospacing="0"/>
            <w:jc w:val="both"/>
            <w:divId w:val="1237326258"/>
          </w:pPr>
          <w:r>
            <w:t>An unexpected, tragic loss of a home through a fire or other casualty is devastating to the affected family. Property appraisals are assessed January 1 of each year and without a process for if there is a major change in value; for instance, if a house burns down.</w:t>
          </w:r>
        </w:p>
        <w:p w:rsidR="00573F71" w:rsidRDefault="00573F71" w:rsidP="00E17C7D">
          <w:pPr>
            <w:pStyle w:val="NormalWeb"/>
            <w:spacing w:before="0" w:beforeAutospacing="0" w:after="0" w:afterAutospacing="0"/>
            <w:jc w:val="both"/>
            <w:divId w:val="1237326258"/>
          </w:pPr>
        </w:p>
        <w:p w:rsidR="00573F71" w:rsidRPr="00E17C7D" w:rsidRDefault="00573F71" w:rsidP="00E17C7D">
          <w:pPr>
            <w:pStyle w:val="NormalWeb"/>
            <w:spacing w:before="0" w:beforeAutospacing="0" w:after="0" w:afterAutospacing="0"/>
            <w:jc w:val="both"/>
            <w:divId w:val="1237326258"/>
          </w:pPr>
          <w:r>
            <w:t>S.B. 467 provides some relief by requiring a method to request a reappraisal of the residential property and directing the Comptroller of Public Accounts of the State of Texas to develop guidelines for the tax entity to calculate a prorated rate based on when the casualty occurred.</w:t>
          </w:r>
        </w:p>
        <w:p w:rsidR="00573F71" w:rsidRPr="00D70925" w:rsidRDefault="00573F71" w:rsidP="00E17C7D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573F71" w:rsidRDefault="00573F71" w:rsidP="00E57D7F">
      <w:pPr>
        <w:spacing w:after="0" w:line="240" w:lineRule="auto"/>
        <w:jc w:val="both"/>
        <w:rPr>
          <w:rFonts w:cs="Times New Roman"/>
          <w:szCs w:val="24"/>
        </w:rPr>
      </w:pPr>
      <w:bookmarkStart w:id="0" w:name="EnrolledProposed"/>
      <w:bookmarkEnd w:id="0"/>
      <w:r w:rsidRPr="00CA60ED">
        <w:rPr>
          <w:rFonts w:cs="Times New Roman"/>
          <w:szCs w:val="24"/>
        </w:rPr>
        <w:t>(Original Author's/Sponsor's Statement of Intent)</w:t>
      </w:r>
    </w:p>
    <w:p w:rsidR="00573F71" w:rsidRDefault="00573F71" w:rsidP="00E57D7F">
      <w:pPr>
        <w:spacing w:after="0" w:line="240" w:lineRule="auto"/>
        <w:jc w:val="both"/>
        <w:rPr>
          <w:rFonts w:cs="Times New Roman"/>
          <w:szCs w:val="24"/>
        </w:rPr>
      </w:pPr>
    </w:p>
    <w:p w:rsidR="00573F71" w:rsidRPr="00CA60ED" w:rsidRDefault="00573F71" w:rsidP="00E57D7F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S.B. 467 </w:t>
      </w:r>
      <w:bookmarkStart w:id="1" w:name="AmendsCurrentLaw"/>
      <w:bookmarkEnd w:id="1"/>
      <w:r>
        <w:rPr>
          <w:rFonts w:cs="Times New Roman"/>
          <w:szCs w:val="24"/>
        </w:rPr>
        <w:t xml:space="preserve">amends current law </w:t>
      </w:r>
      <w:r w:rsidRPr="00CA60ED">
        <w:rPr>
          <w:rFonts w:cs="Times New Roman"/>
          <w:szCs w:val="24"/>
        </w:rPr>
        <w:t>relating to a temporary exemption from ad valorem taxation of the</w:t>
      </w:r>
      <w:r>
        <w:rPr>
          <w:rFonts w:cs="Times New Roman"/>
          <w:szCs w:val="24"/>
        </w:rPr>
        <w:t xml:space="preserve"> </w:t>
      </w:r>
      <w:r w:rsidRPr="00CA60ED">
        <w:rPr>
          <w:rFonts w:cs="Times New Roman"/>
          <w:szCs w:val="24"/>
        </w:rPr>
        <w:t>appraised value of an improvement to a residence homestead that is</w:t>
      </w:r>
      <w:r>
        <w:rPr>
          <w:rFonts w:cs="Times New Roman"/>
          <w:szCs w:val="24"/>
        </w:rPr>
        <w:t xml:space="preserve"> </w:t>
      </w:r>
      <w:r w:rsidRPr="00CA60ED">
        <w:rPr>
          <w:rFonts w:cs="Times New Roman"/>
          <w:szCs w:val="24"/>
        </w:rPr>
        <w:t>completely destroyed by a fire.</w:t>
      </w:r>
    </w:p>
    <w:p w:rsidR="00573F71" w:rsidRPr="00CA60ED" w:rsidRDefault="00573F71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73F71" w:rsidRPr="005C2A78" w:rsidRDefault="00573F71" w:rsidP="00E57D7F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CC10F46566C844B7A00346FF2C76105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573F71" w:rsidRPr="006529C4" w:rsidRDefault="00573F71" w:rsidP="00E57D7F">
      <w:pPr>
        <w:spacing w:after="0" w:line="240" w:lineRule="auto"/>
        <w:jc w:val="both"/>
        <w:rPr>
          <w:rFonts w:cs="Times New Roman"/>
          <w:szCs w:val="24"/>
        </w:rPr>
      </w:pPr>
    </w:p>
    <w:p w:rsidR="00573F71" w:rsidRPr="006529C4" w:rsidRDefault="00573F71" w:rsidP="00E57D7F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573F71" w:rsidRPr="006529C4" w:rsidRDefault="00573F71" w:rsidP="00E57D7F">
      <w:pPr>
        <w:spacing w:after="0" w:line="240" w:lineRule="auto"/>
        <w:jc w:val="both"/>
        <w:rPr>
          <w:rFonts w:cs="Times New Roman"/>
          <w:szCs w:val="24"/>
        </w:rPr>
      </w:pPr>
    </w:p>
    <w:p w:rsidR="00573F71" w:rsidRPr="005C2A78" w:rsidRDefault="00573F71" w:rsidP="00E57D7F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2D4BAD21BBE44431BC063BB39F77338C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573F71" w:rsidRPr="005C2A78" w:rsidRDefault="00573F71" w:rsidP="00E57D7F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73F71" w:rsidRDefault="00573F71" w:rsidP="00573F7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</w:t>
      </w:r>
      <w:r w:rsidRPr="00CA60ED">
        <w:rPr>
          <w:rFonts w:eastAsia="Times New Roman" w:cs="Times New Roman"/>
          <w:szCs w:val="24"/>
        </w:rPr>
        <w:t>Subchapter B, Chapter 11, Tax Code,</w:t>
      </w:r>
      <w:r>
        <w:rPr>
          <w:rFonts w:eastAsia="Times New Roman" w:cs="Times New Roman"/>
          <w:szCs w:val="24"/>
        </w:rPr>
        <w:t xml:space="preserve"> by </w:t>
      </w:r>
      <w:r w:rsidRPr="00CA60ED">
        <w:rPr>
          <w:rFonts w:eastAsia="Times New Roman" w:cs="Times New Roman"/>
          <w:szCs w:val="24"/>
        </w:rPr>
        <w:t>adding Section 11.351</w:t>
      </w:r>
      <w:r>
        <w:rPr>
          <w:rFonts w:eastAsia="Times New Roman" w:cs="Times New Roman"/>
          <w:szCs w:val="24"/>
        </w:rPr>
        <w:t>, as follows:</w:t>
      </w:r>
    </w:p>
    <w:p w:rsidR="00573F71" w:rsidRDefault="00573F71" w:rsidP="00573F7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73F71" w:rsidRDefault="00573F71" w:rsidP="00573F71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 w:rsidRPr="00CA60ED">
        <w:rPr>
          <w:rFonts w:eastAsia="Times New Roman" w:cs="Times New Roman"/>
          <w:szCs w:val="24"/>
        </w:rPr>
        <w:t>Sec. 11.351.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TEMPORARY EXEMPTION FOR IMPROVEMENT TO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RESIDENCE HOMESTEAD DESTROYED BY FIRE.</w:t>
      </w:r>
      <w:r>
        <w:rPr>
          <w:rFonts w:eastAsia="Times New Roman" w:cs="Times New Roman"/>
          <w:szCs w:val="24"/>
        </w:rPr>
        <w:t xml:space="preserve"> (a) Defines "residence homestead."</w:t>
      </w:r>
    </w:p>
    <w:p w:rsidR="00573F71" w:rsidRDefault="00573F71" w:rsidP="00573F71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a </w:t>
      </w:r>
      <w:r w:rsidRPr="00CA60ED">
        <w:rPr>
          <w:rFonts w:eastAsia="Times New Roman" w:cs="Times New Roman"/>
          <w:szCs w:val="24"/>
        </w:rPr>
        <w:t>person is entitled to an exemption from taxation by a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taxing unit</w:t>
      </w:r>
      <w:r>
        <w:rPr>
          <w:rFonts w:eastAsia="Times New Roman" w:cs="Times New Roman"/>
          <w:szCs w:val="24"/>
        </w:rPr>
        <w:t xml:space="preserve"> </w:t>
      </w:r>
      <w:r w:rsidRPr="00E17C7D">
        <w:rPr>
          <w:rFonts w:eastAsia="Times New Roman" w:cs="Times New Roman"/>
          <w:szCs w:val="24"/>
        </w:rPr>
        <w:t>in an amount determined under Subsection (d)</w:t>
      </w:r>
      <w:r w:rsidRPr="00CA60ED">
        <w:rPr>
          <w:rFonts w:eastAsia="Times New Roman" w:cs="Times New Roman"/>
          <w:szCs w:val="24"/>
        </w:rPr>
        <w:t xml:space="preserve"> of the appraised value of an improvement to the person's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 xml:space="preserve">residence homestead that </w:t>
      </w:r>
      <w:r w:rsidRPr="00E17C7D">
        <w:rPr>
          <w:rFonts w:eastAsia="Times New Roman" w:cs="Times New Roman"/>
          <w:szCs w:val="24"/>
        </w:rPr>
        <w:t>is completely destroyed by a fire</w:t>
      </w:r>
      <w:r>
        <w:rPr>
          <w:rFonts w:eastAsia="Times New Roman" w:cs="Times New Roman"/>
          <w:szCs w:val="24"/>
        </w:rPr>
        <w:t xml:space="preserve">, </w:t>
      </w:r>
      <w:r w:rsidRPr="00E17C7D">
        <w:rPr>
          <w:rFonts w:eastAsia="Times New Roman" w:cs="Times New Roman"/>
          <w:szCs w:val="24"/>
        </w:rPr>
        <w:t>is a habitable dwelling immediately before the date the fire occurs</w:t>
      </w:r>
      <w:r>
        <w:rPr>
          <w:rFonts w:eastAsia="Times New Roman" w:cs="Times New Roman"/>
          <w:szCs w:val="24"/>
        </w:rPr>
        <w:t xml:space="preserve">, and </w:t>
      </w:r>
      <w:r w:rsidRPr="00E17C7D">
        <w:rPr>
          <w:rFonts w:eastAsia="Times New Roman" w:cs="Times New Roman"/>
          <w:szCs w:val="24"/>
        </w:rPr>
        <w:t>remains uninhabitable for at least 30 days after the date the fire occurs.</w:t>
      </w: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(c) Provides that a </w:t>
      </w:r>
      <w:r w:rsidRPr="00E17C7D">
        <w:rPr>
          <w:rFonts w:eastAsia="Times New Roman" w:cs="Times New Roman"/>
          <w:szCs w:val="24"/>
        </w:rPr>
        <w:t>person is entitled to an exemption provided by this section only for the tax year in which the fire occurs.</w:t>
      </w: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(d) Provides that the </w:t>
      </w:r>
      <w:r w:rsidRPr="00CA60ED">
        <w:rPr>
          <w:rFonts w:eastAsia="Times New Roman" w:cs="Times New Roman"/>
          <w:szCs w:val="24"/>
        </w:rPr>
        <w:t>amount of the exemption authorized by this section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is calculated by multiplying the appraised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 xml:space="preserve">value of the improvement for </w:t>
      </w:r>
      <w:r>
        <w:rPr>
          <w:rFonts w:eastAsia="Times New Roman" w:cs="Times New Roman"/>
          <w:szCs w:val="24"/>
        </w:rPr>
        <w:t>the</w:t>
      </w:r>
      <w:r w:rsidRPr="00CA60ED">
        <w:rPr>
          <w:rFonts w:eastAsia="Times New Roman" w:cs="Times New Roman"/>
          <w:szCs w:val="24"/>
        </w:rPr>
        <w:t xml:space="preserve"> tax year </w:t>
      </w:r>
      <w:r w:rsidRPr="00E17C7D">
        <w:rPr>
          <w:rFonts w:eastAsia="Times New Roman" w:cs="Times New Roman"/>
          <w:szCs w:val="24"/>
        </w:rPr>
        <w:t xml:space="preserve">in which the fire occurs </w:t>
      </w:r>
      <w:r w:rsidRPr="00CA60ED">
        <w:rPr>
          <w:rFonts w:eastAsia="Times New Roman" w:cs="Times New Roman"/>
          <w:szCs w:val="24"/>
        </w:rPr>
        <w:t>by a fraction,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denominator of which is 365 and the numerator of which is the number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of days remaining in the tax year after the date on which the fire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occurs.</w:t>
      </w: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(e) Requires a </w:t>
      </w:r>
      <w:r w:rsidRPr="00CA60ED">
        <w:rPr>
          <w:rFonts w:eastAsia="Times New Roman" w:cs="Times New Roman"/>
          <w:szCs w:val="24"/>
        </w:rPr>
        <w:t>property owner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submit an application for an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exemption authorized by this section to the chief appraiser of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appraisal district in which the improvement that is the subject of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the application is located not later than the 180th day after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date the fire occurs.</w:t>
      </w: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(f) Requires the </w:t>
      </w:r>
      <w:r w:rsidRPr="00CA60ED">
        <w:rPr>
          <w:rFonts w:eastAsia="Times New Roman" w:cs="Times New Roman"/>
          <w:szCs w:val="24"/>
        </w:rPr>
        <w:t>chief appraiser</w:t>
      </w:r>
      <w:r>
        <w:rPr>
          <w:rFonts w:eastAsia="Times New Roman" w:cs="Times New Roman"/>
          <w:szCs w:val="24"/>
        </w:rPr>
        <w:t xml:space="preserve">, on </w:t>
      </w:r>
      <w:r w:rsidRPr="00CA60ED">
        <w:rPr>
          <w:rFonts w:eastAsia="Times New Roman" w:cs="Times New Roman"/>
          <w:szCs w:val="24"/>
        </w:rPr>
        <w:t>receipt of an application under Subsection (</w:t>
      </w:r>
      <w:r>
        <w:rPr>
          <w:rFonts w:eastAsia="Times New Roman" w:cs="Times New Roman"/>
          <w:szCs w:val="24"/>
        </w:rPr>
        <w:t>e</w:t>
      </w:r>
      <w:r w:rsidRPr="00CA60ED">
        <w:rPr>
          <w:rFonts w:eastAsia="Times New Roman" w:cs="Times New Roman"/>
          <w:szCs w:val="24"/>
        </w:rPr>
        <w:t>),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determine whether the improvement that is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 xml:space="preserve">subject of the application </w:t>
      </w:r>
      <w:r w:rsidRPr="00E17C7D">
        <w:rPr>
          <w:rFonts w:eastAsia="Times New Roman" w:cs="Times New Roman"/>
          <w:szCs w:val="24"/>
        </w:rPr>
        <w:t>qualifies for the exemption authorized</w:t>
      </w:r>
      <w:r w:rsidRPr="00CA60ED">
        <w:rPr>
          <w:rFonts w:eastAsia="Times New Roman" w:cs="Times New Roman"/>
          <w:szCs w:val="24"/>
        </w:rPr>
        <w:t xml:space="preserve"> by </w:t>
      </w:r>
      <w:r>
        <w:rPr>
          <w:rFonts w:eastAsia="Times New Roman" w:cs="Times New Roman"/>
          <w:szCs w:val="24"/>
        </w:rPr>
        <w:t>this section</w:t>
      </w:r>
      <w:r w:rsidRPr="00CA60ED">
        <w:rPr>
          <w:rFonts w:eastAsia="Times New Roman" w:cs="Times New Roman"/>
          <w:szCs w:val="24"/>
        </w:rPr>
        <w:t>.</w:t>
      </w:r>
      <w:r>
        <w:rPr>
          <w:rFonts w:eastAsia="Times New Roman" w:cs="Times New Roman"/>
          <w:szCs w:val="24"/>
        </w:rPr>
        <w:t xml:space="preserve"> Authorizes the </w:t>
      </w:r>
      <w:r w:rsidRPr="00CA60ED">
        <w:rPr>
          <w:rFonts w:eastAsia="Times New Roman" w:cs="Times New Roman"/>
          <w:szCs w:val="24"/>
        </w:rPr>
        <w:t>chief appraiser</w:t>
      </w:r>
      <w:r>
        <w:rPr>
          <w:rFonts w:eastAsia="Times New Roman" w:cs="Times New Roman"/>
          <w:szCs w:val="24"/>
        </w:rPr>
        <w:t xml:space="preserve">, in </w:t>
      </w:r>
      <w:r w:rsidRPr="00CA60ED">
        <w:rPr>
          <w:rFonts w:eastAsia="Times New Roman" w:cs="Times New Roman"/>
          <w:szCs w:val="24"/>
        </w:rPr>
        <w:t xml:space="preserve">determining whether an improvement </w:t>
      </w:r>
      <w:r w:rsidRPr="00E17C7D">
        <w:rPr>
          <w:rFonts w:eastAsia="Times New Roman" w:cs="Times New Roman"/>
          <w:szCs w:val="24"/>
        </w:rPr>
        <w:t>qualifies for the exemption authorized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 xml:space="preserve">by </w:t>
      </w:r>
      <w:r>
        <w:rPr>
          <w:rFonts w:eastAsia="Times New Roman" w:cs="Times New Roman"/>
          <w:szCs w:val="24"/>
        </w:rPr>
        <w:t xml:space="preserve">this section, to </w:t>
      </w:r>
      <w:r w:rsidRPr="00CA60ED">
        <w:rPr>
          <w:rFonts w:eastAsia="Times New Roman" w:cs="Times New Roman"/>
          <w:szCs w:val="24"/>
        </w:rPr>
        <w:t>rely on information provided by an</w:t>
      </w:r>
      <w:r>
        <w:rPr>
          <w:rFonts w:eastAsia="Times New Roman" w:cs="Times New Roman"/>
          <w:szCs w:val="24"/>
        </w:rPr>
        <w:t xml:space="preserve">y </w:t>
      </w:r>
      <w:r w:rsidRPr="00CA60ED">
        <w:rPr>
          <w:rFonts w:eastAsia="Times New Roman" w:cs="Times New Roman"/>
          <w:szCs w:val="24"/>
        </w:rPr>
        <w:t>other source the chief appraiser considers appropriate, including a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county fire marshal or an insurance adjuster.</w:t>
      </w:r>
    </w:p>
    <w:p w:rsidR="00573F71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573F71" w:rsidRPr="005C2A78" w:rsidRDefault="00573F71" w:rsidP="00573F71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(g) Requires the </w:t>
      </w:r>
      <w:r w:rsidRPr="00CA60ED">
        <w:rPr>
          <w:rFonts w:eastAsia="Times New Roman" w:cs="Times New Roman"/>
          <w:szCs w:val="24"/>
        </w:rPr>
        <w:t>assessor for each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applicable taxing unit</w:t>
      </w:r>
      <w:r>
        <w:rPr>
          <w:rFonts w:eastAsia="Times New Roman" w:cs="Times New Roman"/>
          <w:szCs w:val="24"/>
        </w:rPr>
        <w:t xml:space="preserve">, if </w:t>
      </w:r>
      <w:r w:rsidRPr="00CA60ED">
        <w:rPr>
          <w:rFonts w:eastAsia="Times New Roman" w:cs="Times New Roman"/>
          <w:szCs w:val="24"/>
        </w:rPr>
        <w:t xml:space="preserve">a person </w:t>
      </w:r>
      <w:r w:rsidRPr="00E17C7D">
        <w:rPr>
          <w:rFonts w:eastAsia="Times New Roman" w:cs="Times New Roman"/>
          <w:szCs w:val="24"/>
        </w:rPr>
        <w:t>becomes entitled</w:t>
      </w:r>
      <w:r w:rsidRPr="00CA60ED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to </w:t>
      </w:r>
      <w:r w:rsidRPr="00CA60ED">
        <w:rPr>
          <w:rFonts w:eastAsia="Times New Roman" w:cs="Times New Roman"/>
          <w:szCs w:val="24"/>
        </w:rPr>
        <w:t>the exemption authorized by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this section after the amount of tax due on the property is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calculated and the effect of the qualification is to reduce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amount of the tax due on the property,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recalculate the amount of the tax due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on the property and correct the tax roll.</w:t>
      </w:r>
      <w:r>
        <w:rPr>
          <w:rFonts w:eastAsia="Times New Roman" w:cs="Times New Roman"/>
          <w:szCs w:val="24"/>
        </w:rPr>
        <w:t xml:space="preserve"> Requires the </w:t>
      </w:r>
      <w:r w:rsidRPr="00CA60ED">
        <w:rPr>
          <w:rFonts w:eastAsia="Times New Roman" w:cs="Times New Roman"/>
          <w:szCs w:val="24"/>
        </w:rPr>
        <w:t>assess</w:t>
      </w:r>
      <w:r>
        <w:rPr>
          <w:rFonts w:eastAsia="Times New Roman" w:cs="Times New Roman"/>
          <w:szCs w:val="24"/>
        </w:rPr>
        <w:t xml:space="preserve">or, if </w:t>
      </w:r>
      <w:r w:rsidRPr="00CA60ED">
        <w:rPr>
          <w:rFonts w:eastAsia="Times New Roman" w:cs="Times New Roman"/>
          <w:szCs w:val="24"/>
        </w:rPr>
        <w:t>the tax bill has been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mailed and the tax on the property has not been paid,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mail a corrected tax bill to the person in whose name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property is listed on the tax roll or to the person's authorized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agent.</w:t>
      </w:r>
      <w:r>
        <w:rPr>
          <w:rFonts w:eastAsia="Times New Roman" w:cs="Times New Roman"/>
          <w:szCs w:val="24"/>
        </w:rPr>
        <w:t xml:space="preserve"> Requires the t</w:t>
      </w:r>
      <w:r w:rsidRPr="00CA60ED">
        <w:rPr>
          <w:rFonts w:eastAsia="Times New Roman" w:cs="Times New Roman"/>
          <w:szCs w:val="24"/>
        </w:rPr>
        <w:t>ax collector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for the taxing unit</w:t>
      </w:r>
      <w:r>
        <w:rPr>
          <w:rFonts w:eastAsia="Times New Roman" w:cs="Times New Roman"/>
          <w:szCs w:val="24"/>
        </w:rPr>
        <w:t xml:space="preserve">, if </w:t>
      </w:r>
      <w:r w:rsidRPr="00CA60ED">
        <w:rPr>
          <w:rFonts w:eastAsia="Times New Roman" w:cs="Times New Roman"/>
          <w:szCs w:val="24"/>
        </w:rPr>
        <w:t>the tax on the property has been paid,</w:t>
      </w:r>
      <w:r>
        <w:rPr>
          <w:rFonts w:eastAsia="Times New Roman" w:cs="Times New Roman"/>
          <w:szCs w:val="24"/>
        </w:rPr>
        <w:t xml:space="preserve"> to </w:t>
      </w:r>
      <w:r w:rsidRPr="00CA60ED">
        <w:rPr>
          <w:rFonts w:eastAsia="Times New Roman" w:cs="Times New Roman"/>
          <w:szCs w:val="24"/>
        </w:rPr>
        <w:t>refund to the person who paid the tax the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amount by which the payment exceeded the tax due.</w:t>
      </w:r>
    </w:p>
    <w:p w:rsidR="00573F71" w:rsidRPr="005C2A78" w:rsidRDefault="00573F71" w:rsidP="00573F7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73F71" w:rsidRDefault="00573F71" w:rsidP="00573F71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</w:t>
      </w:r>
      <w:r>
        <w:rPr>
          <w:rFonts w:eastAsia="Times New Roman" w:cs="Times New Roman"/>
          <w:szCs w:val="24"/>
        </w:rPr>
        <w:t xml:space="preserve"> </w:t>
      </w:r>
      <w:r w:rsidRPr="005C2A78">
        <w:rPr>
          <w:rFonts w:eastAsia="Times New Roman" w:cs="Times New Roman"/>
          <w:szCs w:val="24"/>
        </w:rPr>
        <w:t>2.</w:t>
      </w:r>
      <w:r>
        <w:rPr>
          <w:rFonts w:eastAsia="Times New Roman" w:cs="Times New Roman"/>
          <w:szCs w:val="24"/>
        </w:rPr>
        <w:t xml:space="preserve"> Makes application of this Act prospective.</w:t>
      </w:r>
    </w:p>
    <w:p w:rsidR="00573F71" w:rsidRDefault="00573F71" w:rsidP="00573F71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573F71" w:rsidRPr="00C8671F" w:rsidRDefault="00573F71" w:rsidP="00573F71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SECTION 3. Effective date: January 1, 2026, contingent upon passage of </w:t>
      </w:r>
      <w:r w:rsidRPr="00CA60ED">
        <w:rPr>
          <w:rFonts w:eastAsia="Times New Roman" w:cs="Times New Roman"/>
          <w:szCs w:val="24"/>
        </w:rPr>
        <w:t>the constitutional amendment proposed by the 89th Legislature,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Regular Session, 2025, to authorize the legislature to provide for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a temporary exemption from ad valorem taxation of the appraised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value of an improvement to a residence homestead that is completely</w:t>
      </w:r>
      <w:r>
        <w:rPr>
          <w:rFonts w:eastAsia="Times New Roman" w:cs="Times New Roman"/>
          <w:szCs w:val="24"/>
        </w:rPr>
        <w:t xml:space="preserve"> </w:t>
      </w:r>
      <w:r w:rsidRPr="00CA60ED">
        <w:rPr>
          <w:rFonts w:eastAsia="Times New Roman" w:cs="Times New Roman"/>
          <w:szCs w:val="24"/>
        </w:rPr>
        <w:t>destroyed by a fire</w:t>
      </w:r>
      <w:r>
        <w:rPr>
          <w:rFonts w:eastAsia="Times New Roman" w:cs="Times New Roman"/>
          <w:szCs w:val="24"/>
        </w:rPr>
        <w:t>.</w:t>
      </w:r>
    </w:p>
    <w:sectPr w:rsidR="00573F71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42D7" w:rsidRDefault="004F42D7" w:rsidP="000F1DF9">
      <w:pPr>
        <w:spacing w:after="0" w:line="240" w:lineRule="auto"/>
      </w:pPr>
      <w:r>
        <w:separator/>
      </w:r>
    </w:p>
  </w:endnote>
  <w:endnote w:type="continuationSeparator" w:id="0">
    <w:p w:rsidR="004F42D7" w:rsidRDefault="004F42D7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4F42D7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573F71">
                <w:rPr>
                  <w:sz w:val="20"/>
                  <w:szCs w:val="20"/>
                </w:rPr>
                <w:t>SR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573F71">
                <w:rPr>
                  <w:sz w:val="20"/>
                  <w:szCs w:val="20"/>
                </w:rPr>
                <w:t>S.B. 467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573F71">
                <w:rPr>
                  <w:sz w:val="20"/>
                  <w:szCs w:val="20"/>
                </w:rPr>
                <w:t>89(R)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4F42D7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42D7" w:rsidRDefault="004F42D7" w:rsidP="000F1DF9">
      <w:pPr>
        <w:spacing w:after="0" w:line="240" w:lineRule="auto"/>
      </w:pPr>
      <w:r>
        <w:separator/>
      </w:r>
    </w:p>
  </w:footnote>
  <w:footnote w:type="continuationSeparator" w:id="0">
    <w:p w:rsidR="004F42D7" w:rsidRDefault="004F42D7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E552E"/>
    <w:rsid w:val="000F1DF9"/>
    <w:rsid w:val="001869C8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4F42D7"/>
    <w:rsid w:val="00503AD0"/>
    <w:rsid w:val="005320AA"/>
    <w:rsid w:val="00544B9F"/>
    <w:rsid w:val="00573F71"/>
    <w:rsid w:val="00585C31"/>
    <w:rsid w:val="005A7918"/>
    <w:rsid w:val="005E0AC7"/>
    <w:rsid w:val="005F46D7"/>
    <w:rsid w:val="00605CA0"/>
    <w:rsid w:val="006529C4"/>
    <w:rsid w:val="006A52A0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926B3E"/>
  <w15:docId w15:val="{24A533D1-0BD1-42BA-B179-C9BEE62A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73F71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9725658E27664B3AA76FF763CE7C1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B6D24-F221-42EF-A357-271E07D5B4E1}"/>
      </w:docPartPr>
      <w:docPartBody>
        <w:p w:rsidR="007A4323" w:rsidRDefault="007A4323"/>
      </w:docPartBody>
    </w:docPart>
    <w:docPart>
      <w:docPartPr>
        <w:name w:val="90E1872C7E194D5594C46F7155B0A3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4449-E688-4C92-93C4-C6AA937E6D25}"/>
      </w:docPartPr>
      <w:docPartBody>
        <w:p w:rsidR="007A4323" w:rsidRDefault="007A4323"/>
      </w:docPartBody>
    </w:docPart>
    <w:docPart>
      <w:docPartPr>
        <w:name w:val="96C6E456AB7D432C83A93E350DB78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F54EC-4F22-4565-8034-0AD7EBEDE4AF}"/>
      </w:docPartPr>
      <w:docPartBody>
        <w:p w:rsidR="007A4323" w:rsidRDefault="007A4323"/>
      </w:docPartBody>
    </w:docPart>
    <w:docPart>
      <w:docPartPr>
        <w:name w:val="CAC876621E844EEDAA4B42C3A6293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ACCEF-15BA-4191-8410-730C62E8B56A}"/>
      </w:docPartPr>
      <w:docPartBody>
        <w:p w:rsidR="007A4323" w:rsidRDefault="007A4323"/>
      </w:docPartBody>
    </w:docPart>
    <w:docPart>
      <w:docPartPr>
        <w:name w:val="F95028BE81AE4703B14DF535E8278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DC2AD-1381-443E-AA98-ED56B2602C75}"/>
      </w:docPartPr>
      <w:docPartBody>
        <w:p w:rsidR="007A4323" w:rsidRDefault="007A4323"/>
      </w:docPartBody>
    </w:docPart>
    <w:docPart>
      <w:docPartPr>
        <w:name w:val="9F783E8DFE964131B7EF4EA3B40557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9AE18-14DC-461D-AA94-5586C3261E98}"/>
      </w:docPartPr>
      <w:docPartBody>
        <w:p w:rsidR="007A4323" w:rsidRDefault="007A4323"/>
      </w:docPartBody>
    </w:docPart>
    <w:docPart>
      <w:docPartPr>
        <w:name w:val="644C93CF651149B59EE8A176CA0384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2008-CC9D-4E59-BFEA-5704AC6208C5}"/>
      </w:docPartPr>
      <w:docPartBody>
        <w:p w:rsidR="007A4323" w:rsidRDefault="007A4323"/>
      </w:docPartBody>
    </w:docPart>
    <w:docPart>
      <w:docPartPr>
        <w:name w:val="0524E2293AC4426DAE89B51BBAF48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9833D5-6565-489B-BAF0-2098FB425F8C}"/>
      </w:docPartPr>
      <w:docPartBody>
        <w:p w:rsidR="007A4323" w:rsidRDefault="007A4323"/>
      </w:docPartBody>
    </w:docPart>
    <w:docPart>
      <w:docPartPr>
        <w:name w:val="C3E62389A22547ECA28D9A051B2FE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E70F0-F437-459C-8D33-70B40F3FC5C3}"/>
      </w:docPartPr>
      <w:docPartBody>
        <w:p w:rsidR="007A4323" w:rsidRDefault="007A4323"/>
      </w:docPartBody>
    </w:docPart>
    <w:docPart>
      <w:docPartPr>
        <w:name w:val="1C8624B8959044EB90D05CD7AB7FE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FEC7-0466-4BF7-833F-6CD9AB8D276F}"/>
      </w:docPartPr>
      <w:docPartBody>
        <w:p w:rsidR="007A4323" w:rsidRDefault="00297BB9" w:rsidP="00297BB9">
          <w:pPr>
            <w:pStyle w:val="1C8624B8959044EB90D05CD7AB7FE7A9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92FE06BD7A7644C48454FC0F5FE5B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20101-9F4A-43C0-92BD-1F60D40409B0}"/>
      </w:docPartPr>
      <w:docPartBody>
        <w:p w:rsidR="007A4323" w:rsidRDefault="007A4323"/>
      </w:docPartBody>
    </w:docPart>
    <w:docPart>
      <w:docPartPr>
        <w:name w:val="FE2F9BD9057E4AC1819EF2D942E6F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8B2E6-D540-4F7D-B751-287C517920C8}"/>
      </w:docPartPr>
      <w:docPartBody>
        <w:p w:rsidR="007A4323" w:rsidRDefault="007A4323"/>
      </w:docPartBody>
    </w:docPart>
    <w:docPart>
      <w:docPartPr>
        <w:name w:val="0F55488CD941490B8ED33263D9185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8E1AF-D063-4509-9303-B85348A7E639}"/>
      </w:docPartPr>
      <w:docPartBody>
        <w:p w:rsidR="007A4323" w:rsidRDefault="00297BB9" w:rsidP="00297BB9">
          <w:pPr>
            <w:pStyle w:val="0F55488CD941490B8ED33263D91851F1"/>
          </w:pPr>
          <w:r>
            <w:rPr>
              <w:rFonts w:eastAsia="Times New Roman" w:cs="Times New Roman"/>
              <w:bCs/>
            </w:rPr>
            <w:t xml:space="preserve"> </w:t>
          </w:r>
        </w:p>
      </w:docPartBody>
    </w:docPart>
    <w:docPart>
      <w:docPartPr>
        <w:name w:val="CC10F46566C844B7A00346FF2C761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72E3A-6BA1-46FB-A597-E97B000BA73D}"/>
      </w:docPartPr>
      <w:docPartBody>
        <w:p w:rsidR="007A4323" w:rsidRDefault="007A4323"/>
      </w:docPartBody>
    </w:docPart>
    <w:docPart>
      <w:docPartPr>
        <w:name w:val="2D4BAD21BBE44431BC063BB39F773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21CA1-F317-4D62-AF56-3A87CEE7DE0F}"/>
      </w:docPartPr>
      <w:docPartBody>
        <w:p w:rsidR="007A4323" w:rsidRDefault="007A43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869C8"/>
    <w:rsid w:val="001C5F26"/>
    <w:rsid w:val="001E7483"/>
    <w:rsid w:val="00280096"/>
    <w:rsid w:val="00290C4E"/>
    <w:rsid w:val="00297BB9"/>
    <w:rsid w:val="002A4665"/>
    <w:rsid w:val="002A5E86"/>
    <w:rsid w:val="002F07B9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7A4323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7BB9"/>
    <w:rPr>
      <w:color w:val="808080"/>
    </w:rPr>
  </w:style>
  <w:style w:type="paragraph" w:customStyle="1" w:styleId="1C8624B8959044EB90D05CD7AB7FE7A9">
    <w:name w:val="1C8624B8959044EB90D05CD7AB7FE7A9"/>
    <w:rsid w:val="00297B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F55488CD941490B8ED33263D91851F1">
    <w:name w:val="0F55488CD941490B8ED33263D91851F1"/>
    <w:rsid w:val="00297BB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67975F-58AF-4FE3-9993-C927C438BE69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630</Words>
  <Characters>3592</Characters>
  <Application>Microsoft Office Word</Application>
  <DocSecurity>0</DocSecurity>
  <Lines>29</Lines>
  <Paragraphs>8</Paragraphs>
  <ScaleCrop>false</ScaleCrop>
  <Company>Texas Legislative Council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Saher Raza</cp:lastModifiedBy>
  <cp:revision>161</cp:revision>
  <dcterms:created xsi:type="dcterms:W3CDTF">2015-05-29T14:24:00Z</dcterms:created>
  <dcterms:modified xsi:type="dcterms:W3CDTF">2025-07-22T17:01:00Z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