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61BC0" w14:paraId="60D4C33F" w14:textId="77777777" w:rsidTr="00345119">
        <w:tc>
          <w:tcPr>
            <w:tcW w:w="9576" w:type="dxa"/>
            <w:noWrap/>
          </w:tcPr>
          <w:p w14:paraId="6769CC70" w14:textId="77777777" w:rsidR="008423E4" w:rsidRPr="0022177D" w:rsidRDefault="002839FA" w:rsidP="00936DE3">
            <w:pPr>
              <w:pStyle w:val="Heading1"/>
            </w:pPr>
            <w:r w:rsidRPr="00631897">
              <w:t>BILL ANALYSIS</w:t>
            </w:r>
          </w:p>
        </w:tc>
      </w:tr>
    </w:tbl>
    <w:p w14:paraId="5D532A91" w14:textId="77777777" w:rsidR="008423E4" w:rsidRPr="0022177D" w:rsidRDefault="008423E4" w:rsidP="00936DE3">
      <w:pPr>
        <w:jc w:val="center"/>
      </w:pPr>
    </w:p>
    <w:p w14:paraId="5A94DEFB" w14:textId="77777777" w:rsidR="008423E4" w:rsidRPr="00B31F0E" w:rsidRDefault="008423E4" w:rsidP="00936DE3"/>
    <w:p w14:paraId="1C3B2903" w14:textId="77777777" w:rsidR="008423E4" w:rsidRPr="00742794" w:rsidRDefault="008423E4" w:rsidP="00936DE3">
      <w:pPr>
        <w:tabs>
          <w:tab w:val="right" w:pos="9360"/>
        </w:tabs>
      </w:pPr>
    </w:p>
    <w:tbl>
      <w:tblPr>
        <w:tblW w:w="0" w:type="auto"/>
        <w:tblLayout w:type="fixed"/>
        <w:tblLook w:val="01E0" w:firstRow="1" w:lastRow="1" w:firstColumn="1" w:lastColumn="1" w:noHBand="0" w:noVBand="0"/>
      </w:tblPr>
      <w:tblGrid>
        <w:gridCol w:w="9576"/>
      </w:tblGrid>
      <w:tr w:rsidR="00361BC0" w14:paraId="5627F317" w14:textId="77777777" w:rsidTr="00345119">
        <w:tc>
          <w:tcPr>
            <w:tcW w:w="9576" w:type="dxa"/>
          </w:tcPr>
          <w:p w14:paraId="24A12C29" w14:textId="26FC0824" w:rsidR="008423E4" w:rsidRPr="00861995" w:rsidRDefault="002839FA" w:rsidP="00936DE3">
            <w:pPr>
              <w:jc w:val="right"/>
            </w:pPr>
            <w:r>
              <w:t>C.S.S.B. 467</w:t>
            </w:r>
          </w:p>
        </w:tc>
      </w:tr>
      <w:tr w:rsidR="00361BC0" w14:paraId="4D8B05A3" w14:textId="77777777" w:rsidTr="00345119">
        <w:tc>
          <w:tcPr>
            <w:tcW w:w="9576" w:type="dxa"/>
          </w:tcPr>
          <w:p w14:paraId="55A59D29" w14:textId="0659DD9A" w:rsidR="008423E4" w:rsidRPr="00861995" w:rsidRDefault="002839FA" w:rsidP="00936DE3">
            <w:pPr>
              <w:jc w:val="right"/>
            </w:pPr>
            <w:r>
              <w:t xml:space="preserve">By: </w:t>
            </w:r>
            <w:r w:rsidR="00E64EE7">
              <w:t>Paxton</w:t>
            </w:r>
          </w:p>
        </w:tc>
      </w:tr>
      <w:tr w:rsidR="00361BC0" w14:paraId="3E43D68C" w14:textId="77777777" w:rsidTr="00345119">
        <w:tc>
          <w:tcPr>
            <w:tcW w:w="9576" w:type="dxa"/>
          </w:tcPr>
          <w:p w14:paraId="69640C96" w14:textId="32BFE200" w:rsidR="008423E4" w:rsidRPr="00861995" w:rsidRDefault="002839FA" w:rsidP="00936DE3">
            <w:pPr>
              <w:jc w:val="right"/>
            </w:pPr>
            <w:r>
              <w:t>Ways &amp; Means</w:t>
            </w:r>
          </w:p>
        </w:tc>
      </w:tr>
      <w:tr w:rsidR="00361BC0" w14:paraId="1ADAB4DA" w14:textId="77777777" w:rsidTr="00345119">
        <w:tc>
          <w:tcPr>
            <w:tcW w:w="9576" w:type="dxa"/>
          </w:tcPr>
          <w:p w14:paraId="4B8A7C98" w14:textId="498AA71D" w:rsidR="008423E4" w:rsidRDefault="002839FA" w:rsidP="00936DE3">
            <w:pPr>
              <w:jc w:val="right"/>
            </w:pPr>
            <w:r>
              <w:t>Committee Report (Substituted)</w:t>
            </w:r>
          </w:p>
        </w:tc>
      </w:tr>
    </w:tbl>
    <w:p w14:paraId="5358DCAC" w14:textId="77777777" w:rsidR="008423E4" w:rsidRDefault="008423E4" w:rsidP="00936DE3">
      <w:pPr>
        <w:tabs>
          <w:tab w:val="right" w:pos="9360"/>
        </w:tabs>
      </w:pPr>
    </w:p>
    <w:p w14:paraId="13168549" w14:textId="77777777" w:rsidR="008423E4" w:rsidRDefault="008423E4" w:rsidP="00936DE3"/>
    <w:p w14:paraId="6203E9FB" w14:textId="77777777" w:rsidR="008423E4" w:rsidRDefault="008423E4" w:rsidP="00936DE3"/>
    <w:tbl>
      <w:tblPr>
        <w:tblW w:w="0" w:type="auto"/>
        <w:tblCellMar>
          <w:left w:w="115" w:type="dxa"/>
          <w:right w:w="115" w:type="dxa"/>
        </w:tblCellMar>
        <w:tblLook w:val="01E0" w:firstRow="1" w:lastRow="1" w:firstColumn="1" w:lastColumn="1" w:noHBand="0" w:noVBand="0"/>
      </w:tblPr>
      <w:tblGrid>
        <w:gridCol w:w="9360"/>
      </w:tblGrid>
      <w:tr w:rsidR="00361BC0" w14:paraId="348A9DD5" w14:textId="77777777" w:rsidTr="00464FDD">
        <w:tc>
          <w:tcPr>
            <w:tcW w:w="9360" w:type="dxa"/>
          </w:tcPr>
          <w:p w14:paraId="4B341F52" w14:textId="77777777" w:rsidR="008423E4" w:rsidRPr="00A8133F" w:rsidRDefault="002839FA" w:rsidP="00936DE3">
            <w:pPr>
              <w:rPr>
                <w:b/>
              </w:rPr>
            </w:pPr>
            <w:r w:rsidRPr="009C1E9A">
              <w:rPr>
                <w:b/>
                <w:u w:val="single"/>
              </w:rPr>
              <w:t>BACKGROUND AND PURPOSE</w:t>
            </w:r>
            <w:r>
              <w:rPr>
                <w:b/>
              </w:rPr>
              <w:t xml:space="preserve"> </w:t>
            </w:r>
          </w:p>
          <w:p w14:paraId="29A25E2A" w14:textId="77777777" w:rsidR="008423E4" w:rsidRDefault="008423E4" w:rsidP="00936DE3"/>
          <w:p w14:paraId="6B2DE970" w14:textId="69D7BAF9" w:rsidR="008423E4" w:rsidRDefault="002839FA" w:rsidP="00936DE3">
            <w:pPr>
              <w:pStyle w:val="Header"/>
              <w:jc w:val="both"/>
            </w:pPr>
            <w:r>
              <w:t>The bill sponsor has informed the committee that an</w:t>
            </w:r>
            <w:r w:rsidR="00655501">
              <w:t xml:space="preserve"> unexpected, tragic loss of a home through a fire or other casualty is devastating to the affected family</w:t>
            </w:r>
            <w:r w:rsidR="00746597">
              <w:t xml:space="preserve"> and that, in this instance, there is currently no process for a property appraisal if there is a major change in value.</w:t>
            </w:r>
            <w:r w:rsidR="00655501">
              <w:t xml:space="preserve"> </w:t>
            </w:r>
            <w:r w:rsidR="00746597">
              <w:t>C.S.</w:t>
            </w:r>
            <w:r w:rsidR="00655501">
              <w:t xml:space="preserve">S.B. 467 </w:t>
            </w:r>
            <w:r w:rsidR="00746597">
              <w:t xml:space="preserve">seeks to address this issue </w:t>
            </w:r>
            <w:r w:rsidR="00655501">
              <w:t xml:space="preserve">by </w:t>
            </w:r>
            <w:r w:rsidR="009173A2">
              <w:t xml:space="preserve">entitling a person </w:t>
            </w:r>
            <w:r w:rsidR="00C47A6B">
              <w:t xml:space="preserve">to an exemption </w:t>
            </w:r>
            <w:r w:rsidR="009173A2">
              <w:t>from property taxation of a certain amount upon their residen</w:t>
            </w:r>
            <w:r w:rsidR="00944C7B">
              <w:t>ce</w:t>
            </w:r>
            <w:r w:rsidR="009173A2">
              <w:t xml:space="preserve"> homestead being completely destroyed by a fire and other specified conditions.</w:t>
            </w:r>
          </w:p>
          <w:p w14:paraId="762640A3" w14:textId="75A2CC67" w:rsidR="00655501" w:rsidRPr="00E26B13" w:rsidRDefault="00655501" w:rsidP="00936DE3">
            <w:pPr>
              <w:pStyle w:val="Header"/>
              <w:jc w:val="both"/>
              <w:rPr>
                <w:b/>
              </w:rPr>
            </w:pPr>
          </w:p>
        </w:tc>
      </w:tr>
      <w:tr w:rsidR="00361BC0" w14:paraId="165D8FE5" w14:textId="77777777" w:rsidTr="00464FDD">
        <w:tc>
          <w:tcPr>
            <w:tcW w:w="9360" w:type="dxa"/>
          </w:tcPr>
          <w:p w14:paraId="44D5CE85" w14:textId="77777777" w:rsidR="0017725B" w:rsidRDefault="002839FA" w:rsidP="00936DE3">
            <w:pPr>
              <w:rPr>
                <w:b/>
                <w:u w:val="single"/>
              </w:rPr>
            </w:pPr>
            <w:r>
              <w:rPr>
                <w:b/>
                <w:u w:val="single"/>
              </w:rPr>
              <w:t>CRIMINAL JUSTICE IMPACT</w:t>
            </w:r>
          </w:p>
          <w:p w14:paraId="59608B7F" w14:textId="77777777" w:rsidR="0017725B" w:rsidRDefault="0017725B" w:rsidP="00936DE3">
            <w:pPr>
              <w:rPr>
                <w:b/>
                <w:u w:val="single"/>
              </w:rPr>
            </w:pPr>
          </w:p>
          <w:p w14:paraId="6F591999" w14:textId="48380050" w:rsidR="009A5333" w:rsidRPr="009A5333" w:rsidRDefault="002839FA" w:rsidP="00936DE3">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CCF4381" w14:textId="77777777" w:rsidR="0017725B" w:rsidRPr="0017725B" w:rsidRDefault="0017725B" w:rsidP="00936DE3">
            <w:pPr>
              <w:rPr>
                <w:b/>
                <w:u w:val="single"/>
              </w:rPr>
            </w:pPr>
          </w:p>
        </w:tc>
      </w:tr>
      <w:tr w:rsidR="00361BC0" w14:paraId="4ACC77EC" w14:textId="77777777" w:rsidTr="00464FDD">
        <w:tc>
          <w:tcPr>
            <w:tcW w:w="9360" w:type="dxa"/>
          </w:tcPr>
          <w:p w14:paraId="1E660A7A" w14:textId="77777777" w:rsidR="008423E4" w:rsidRPr="00A8133F" w:rsidRDefault="002839FA" w:rsidP="00936DE3">
            <w:pPr>
              <w:rPr>
                <w:b/>
              </w:rPr>
            </w:pPr>
            <w:r w:rsidRPr="009C1E9A">
              <w:rPr>
                <w:b/>
                <w:u w:val="single"/>
              </w:rPr>
              <w:t>RULEMAKING AUTHORITY</w:t>
            </w:r>
            <w:r>
              <w:rPr>
                <w:b/>
              </w:rPr>
              <w:t xml:space="preserve"> </w:t>
            </w:r>
          </w:p>
          <w:p w14:paraId="4BACAC55" w14:textId="77777777" w:rsidR="008423E4" w:rsidRDefault="008423E4" w:rsidP="00936DE3"/>
          <w:p w14:paraId="05B3A725" w14:textId="581FE951" w:rsidR="009A5333" w:rsidRDefault="002839FA" w:rsidP="00936DE3">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796C4CD5" w14:textId="77777777" w:rsidR="008423E4" w:rsidRPr="00E21FDC" w:rsidRDefault="008423E4" w:rsidP="00936DE3">
            <w:pPr>
              <w:rPr>
                <w:b/>
              </w:rPr>
            </w:pPr>
          </w:p>
        </w:tc>
      </w:tr>
      <w:tr w:rsidR="00361BC0" w14:paraId="3E51F53D" w14:textId="77777777" w:rsidTr="00464FDD">
        <w:tc>
          <w:tcPr>
            <w:tcW w:w="9360" w:type="dxa"/>
          </w:tcPr>
          <w:p w14:paraId="21216BFB" w14:textId="77777777" w:rsidR="008423E4" w:rsidRPr="00A8133F" w:rsidRDefault="002839FA" w:rsidP="00936DE3">
            <w:pPr>
              <w:rPr>
                <w:b/>
              </w:rPr>
            </w:pPr>
            <w:r w:rsidRPr="009C1E9A">
              <w:rPr>
                <w:b/>
                <w:u w:val="single"/>
              </w:rPr>
              <w:t>ANALYSIS</w:t>
            </w:r>
            <w:r>
              <w:rPr>
                <w:b/>
              </w:rPr>
              <w:t xml:space="preserve"> </w:t>
            </w:r>
          </w:p>
          <w:p w14:paraId="1A384E75" w14:textId="77777777" w:rsidR="008423E4" w:rsidRDefault="008423E4" w:rsidP="00936DE3"/>
          <w:p w14:paraId="441F668C" w14:textId="142CD9E5" w:rsidR="00464FDD" w:rsidRDefault="002839FA" w:rsidP="00936DE3">
            <w:pPr>
              <w:pStyle w:val="Header"/>
              <w:tabs>
                <w:tab w:val="clear" w:pos="4320"/>
                <w:tab w:val="clear" w:pos="8640"/>
              </w:tabs>
              <w:jc w:val="both"/>
            </w:pPr>
            <w:r>
              <w:t>C.S.S.B.</w:t>
            </w:r>
            <w:r w:rsidR="009A5333">
              <w:t xml:space="preserve"> 467 amends the Tax Code to entitle a person </w:t>
            </w:r>
            <w:r w:rsidR="009A5333" w:rsidRPr="009A5333">
              <w:t xml:space="preserve">to an exemption from taxation by a taxing unit </w:t>
            </w:r>
            <w:r w:rsidRPr="009A5333">
              <w:t xml:space="preserve">in an amount determined under </w:t>
            </w:r>
            <w:r>
              <w:t>the bill's provisions</w:t>
            </w:r>
            <w:r w:rsidRPr="009A5333">
              <w:t xml:space="preserve"> </w:t>
            </w:r>
            <w:r w:rsidR="009A5333" w:rsidRPr="009A5333">
              <w:t xml:space="preserve">of the appraised value of an improvement to the person's residence homestead </w:t>
            </w:r>
            <w:r>
              <w:t>if the residen</w:t>
            </w:r>
            <w:r w:rsidR="00C47A6B">
              <w:t>ce</w:t>
            </w:r>
            <w:r>
              <w:t xml:space="preserve"> homestead meets the following conditions:</w:t>
            </w:r>
          </w:p>
          <w:p w14:paraId="4429F259" w14:textId="43E8416A" w:rsidR="00464FDD" w:rsidRDefault="002839FA" w:rsidP="00936DE3">
            <w:pPr>
              <w:pStyle w:val="Header"/>
              <w:numPr>
                <w:ilvl w:val="0"/>
                <w:numId w:val="1"/>
              </w:numPr>
              <w:tabs>
                <w:tab w:val="clear" w:pos="4320"/>
                <w:tab w:val="clear" w:pos="8640"/>
              </w:tabs>
              <w:jc w:val="both"/>
            </w:pPr>
            <w:r>
              <w:t>it</w:t>
            </w:r>
            <w:r w:rsidR="009A5333" w:rsidRPr="009A5333">
              <w:t xml:space="preserve"> is completely destroyed by a fire</w:t>
            </w:r>
            <w:r>
              <w:t>;</w:t>
            </w:r>
          </w:p>
          <w:p w14:paraId="4121F8B6" w14:textId="026F4F44" w:rsidR="00464FDD" w:rsidRDefault="002839FA" w:rsidP="00936DE3">
            <w:pPr>
              <w:pStyle w:val="Header"/>
              <w:numPr>
                <w:ilvl w:val="0"/>
                <w:numId w:val="1"/>
              </w:numPr>
              <w:jc w:val="both"/>
            </w:pPr>
            <w:r>
              <w:t>it</w:t>
            </w:r>
            <w:r w:rsidR="009A5333" w:rsidRPr="009A5333">
              <w:t xml:space="preserve"> </w:t>
            </w:r>
            <w:r>
              <w:t>is a habitable dwelling immediately before the date the fire occurs; and</w:t>
            </w:r>
          </w:p>
          <w:p w14:paraId="013438DB" w14:textId="50B53DAF" w:rsidR="00464FDD" w:rsidRDefault="002839FA" w:rsidP="00936DE3">
            <w:pPr>
              <w:pStyle w:val="Header"/>
              <w:numPr>
                <w:ilvl w:val="0"/>
                <w:numId w:val="1"/>
              </w:numPr>
              <w:tabs>
                <w:tab w:val="clear" w:pos="4320"/>
                <w:tab w:val="clear" w:pos="8640"/>
              </w:tabs>
              <w:jc w:val="both"/>
            </w:pPr>
            <w:r>
              <w:t>it remains uninhabitable for at least 30 days after the date the fire occurs.</w:t>
            </w:r>
          </w:p>
          <w:p w14:paraId="7D26A2E9" w14:textId="5D2BB175" w:rsidR="009C36CD" w:rsidRDefault="002839FA" w:rsidP="00936DE3">
            <w:pPr>
              <w:pStyle w:val="Header"/>
              <w:tabs>
                <w:tab w:val="clear" w:pos="4320"/>
                <w:tab w:val="clear" w:pos="8640"/>
              </w:tabs>
              <w:jc w:val="both"/>
            </w:pPr>
            <w:r w:rsidRPr="009A5333">
              <w:t xml:space="preserve">The </w:t>
            </w:r>
            <w:r>
              <w:t xml:space="preserve">bill establishes that a </w:t>
            </w:r>
            <w:r w:rsidRPr="009A5333">
              <w:t>person is entitled to the exemption only for the tax year in which the fire occurs.</w:t>
            </w:r>
            <w:r>
              <w:t xml:space="preserve"> </w:t>
            </w:r>
            <w:r w:rsidR="009A5333">
              <w:t>The bill establishes that the</w:t>
            </w:r>
            <w:r w:rsidR="009A5333" w:rsidRPr="009A5333">
              <w:t xml:space="preserve"> amount of the exemption is calculated by multiplying the appraised value of the improvement for </w:t>
            </w:r>
            <w:r w:rsidR="005667C2" w:rsidRPr="005667C2">
              <w:t xml:space="preserve">the tax year in which the fire occurs </w:t>
            </w:r>
            <w:r w:rsidR="009A5333" w:rsidRPr="009A5333">
              <w:t>by a fraction, the denominator of which is 365 and the numerator of which is the number of days remaining in the tax year after the date on which the fire occurs.</w:t>
            </w:r>
          </w:p>
          <w:p w14:paraId="04F38328" w14:textId="77777777" w:rsidR="009A5333" w:rsidRDefault="009A5333" w:rsidP="00936DE3">
            <w:pPr>
              <w:pStyle w:val="Header"/>
              <w:tabs>
                <w:tab w:val="clear" w:pos="4320"/>
                <w:tab w:val="clear" w:pos="8640"/>
              </w:tabs>
              <w:jc w:val="both"/>
            </w:pPr>
          </w:p>
          <w:p w14:paraId="1FEA5ADD" w14:textId="5D5EA5A8" w:rsidR="009A5333" w:rsidRDefault="002839FA" w:rsidP="00936DE3">
            <w:pPr>
              <w:pStyle w:val="Header"/>
              <w:tabs>
                <w:tab w:val="clear" w:pos="4320"/>
                <w:tab w:val="clear" w:pos="8640"/>
              </w:tabs>
              <w:jc w:val="both"/>
            </w:pPr>
            <w:r>
              <w:t>C.S.S.B. 467 requires a</w:t>
            </w:r>
            <w:r w:rsidRPr="009A5333">
              <w:t xml:space="preserve"> property owner </w:t>
            </w:r>
            <w:r>
              <w:t>to</w:t>
            </w:r>
            <w:r w:rsidRPr="009A5333">
              <w:t xml:space="preserve"> submit an application for </w:t>
            </w:r>
            <w:r w:rsidR="007D16D8">
              <w:t>the</w:t>
            </w:r>
            <w:r w:rsidRPr="009A5333">
              <w:t xml:space="preserve"> exemption to the chief appraiser of the appraisal district in which the improvement that is the subject of the application is located not later than the 180th day after the date the fire occurs.</w:t>
            </w:r>
            <w:r w:rsidR="007D16D8">
              <w:t xml:space="preserve"> The bill requires the chief appraiser, o</w:t>
            </w:r>
            <w:r w:rsidR="007D16D8" w:rsidRPr="007D16D8">
              <w:t xml:space="preserve">n receipt of </w:t>
            </w:r>
            <w:r w:rsidR="007D16D8">
              <w:t xml:space="preserve">such </w:t>
            </w:r>
            <w:r w:rsidR="007D16D8" w:rsidRPr="007D16D8">
              <w:t>an application</w:t>
            </w:r>
            <w:r w:rsidR="007D16D8">
              <w:t xml:space="preserve">, to </w:t>
            </w:r>
            <w:r w:rsidR="007D16D8" w:rsidRPr="007D16D8">
              <w:t xml:space="preserve">determine whether the improvement </w:t>
            </w:r>
            <w:r w:rsidR="005667C2" w:rsidRPr="005667C2">
              <w:t>qualifies for the exemption</w:t>
            </w:r>
            <w:r w:rsidR="005667C2">
              <w:t xml:space="preserve"> provided for by the bill's provisions</w:t>
            </w:r>
            <w:r w:rsidR="007D16D8" w:rsidRPr="007D16D8">
              <w:t xml:space="preserve">. In determining whether an improvement </w:t>
            </w:r>
            <w:r w:rsidR="005667C2" w:rsidRPr="005667C2">
              <w:t>qualifies for the exemption</w:t>
            </w:r>
            <w:r w:rsidR="007D16D8" w:rsidRPr="007D16D8">
              <w:t>, the chief appraiser may rely on information provided by any other source the chief appraiser considers appropriate, including a county fire marshal or an insurance adjuster.</w:t>
            </w:r>
          </w:p>
          <w:p w14:paraId="6584FE21" w14:textId="77777777" w:rsidR="007D16D8" w:rsidRDefault="007D16D8" w:rsidP="00936DE3">
            <w:pPr>
              <w:pStyle w:val="Header"/>
              <w:tabs>
                <w:tab w:val="clear" w:pos="4320"/>
                <w:tab w:val="clear" w:pos="8640"/>
              </w:tabs>
              <w:jc w:val="both"/>
            </w:pPr>
          </w:p>
          <w:p w14:paraId="46BF165D" w14:textId="2924AB0F" w:rsidR="007D16D8" w:rsidRDefault="002839FA" w:rsidP="00936DE3">
            <w:pPr>
              <w:pStyle w:val="Header"/>
              <w:tabs>
                <w:tab w:val="clear" w:pos="4320"/>
                <w:tab w:val="clear" w:pos="8640"/>
              </w:tabs>
              <w:jc w:val="both"/>
            </w:pPr>
            <w:r>
              <w:t xml:space="preserve">C.S.S.B. 467 requires </w:t>
            </w:r>
            <w:r w:rsidRPr="007D16D8">
              <w:t>the assessor for each applicable taxing unit</w:t>
            </w:r>
            <w:r>
              <w:t xml:space="preserve">, if </w:t>
            </w:r>
            <w:r w:rsidRPr="007D16D8">
              <w:t xml:space="preserve">a person </w:t>
            </w:r>
            <w:r w:rsidR="005667C2">
              <w:t>becomes entitled to</w:t>
            </w:r>
            <w:r w:rsidRPr="007D16D8">
              <w:t xml:space="preserve"> the exemption after the amount of tax due on the property is calculated and the effect of the qualification is to reduce the amount of the tax due on the property,</w:t>
            </w:r>
            <w:r>
              <w:t xml:space="preserve"> to </w:t>
            </w:r>
            <w:r w:rsidRPr="007D16D8">
              <w:t xml:space="preserve">recalculate the amount of the tax due on the property and correct the tax roll. </w:t>
            </w:r>
            <w:r>
              <w:t>The bill requires the assessor, i</w:t>
            </w:r>
            <w:r w:rsidRPr="007D16D8">
              <w:t xml:space="preserve">f the tax bill has been mailed and the tax on the property has not been paid, </w:t>
            </w:r>
            <w:r>
              <w:t>to</w:t>
            </w:r>
            <w:r w:rsidRPr="007D16D8">
              <w:t xml:space="preserve"> mail a corrected tax bill to the person in whose name the property is lis</w:t>
            </w:r>
            <w:r w:rsidRPr="007D16D8">
              <w:t xml:space="preserve">ted on the tax roll or to the person's authorized agent. </w:t>
            </w:r>
            <w:r>
              <w:t>The bill requires the tax collector for the taxing unit, i</w:t>
            </w:r>
            <w:r w:rsidRPr="007D16D8">
              <w:t xml:space="preserve">f the tax on the property has been paid, </w:t>
            </w:r>
            <w:r>
              <w:t>to</w:t>
            </w:r>
            <w:r w:rsidRPr="007D16D8">
              <w:t xml:space="preserve"> refund to the person who paid the tax the amount by which the payment exceeded the tax due.</w:t>
            </w:r>
            <w:r>
              <w:t xml:space="preserve"> </w:t>
            </w:r>
          </w:p>
          <w:p w14:paraId="5C2D3EF5" w14:textId="77777777" w:rsidR="007D16D8" w:rsidRDefault="007D16D8" w:rsidP="00936DE3">
            <w:pPr>
              <w:pStyle w:val="Header"/>
              <w:tabs>
                <w:tab w:val="clear" w:pos="4320"/>
                <w:tab w:val="clear" w:pos="8640"/>
              </w:tabs>
              <w:jc w:val="both"/>
            </w:pPr>
          </w:p>
          <w:p w14:paraId="60FF60F3" w14:textId="52F40CB2" w:rsidR="007D16D8" w:rsidRPr="009C36CD" w:rsidRDefault="002839FA" w:rsidP="00936DE3">
            <w:pPr>
              <w:pStyle w:val="Header"/>
              <w:tabs>
                <w:tab w:val="clear" w:pos="4320"/>
                <w:tab w:val="clear" w:pos="8640"/>
              </w:tabs>
              <w:jc w:val="both"/>
            </w:pPr>
            <w:r>
              <w:t>C.S.S.B.</w:t>
            </w:r>
            <w:r w:rsidR="0032120C" w:rsidRPr="0032120C">
              <w:t xml:space="preserve"> 467 </w:t>
            </w:r>
            <w:r w:rsidR="0032120C">
              <w:t>applies only to a property tax year that begins on or after the bill's effective date.</w:t>
            </w:r>
          </w:p>
          <w:p w14:paraId="4E44BEA1" w14:textId="77777777" w:rsidR="008423E4" w:rsidRPr="00835628" w:rsidRDefault="008423E4" w:rsidP="00936DE3">
            <w:pPr>
              <w:rPr>
                <w:b/>
              </w:rPr>
            </w:pPr>
          </w:p>
        </w:tc>
      </w:tr>
      <w:tr w:rsidR="00361BC0" w14:paraId="797D44B0" w14:textId="77777777" w:rsidTr="00464FDD">
        <w:tc>
          <w:tcPr>
            <w:tcW w:w="9360" w:type="dxa"/>
          </w:tcPr>
          <w:p w14:paraId="6939FB53" w14:textId="77777777" w:rsidR="008423E4" w:rsidRPr="00A8133F" w:rsidRDefault="002839FA" w:rsidP="00936DE3">
            <w:pPr>
              <w:rPr>
                <w:b/>
              </w:rPr>
            </w:pPr>
            <w:r w:rsidRPr="009C1E9A">
              <w:rPr>
                <w:b/>
                <w:u w:val="single"/>
              </w:rPr>
              <w:t>EFFECTIVE DATE</w:t>
            </w:r>
            <w:r>
              <w:rPr>
                <w:b/>
              </w:rPr>
              <w:t xml:space="preserve"> </w:t>
            </w:r>
          </w:p>
          <w:p w14:paraId="706B9B02" w14:textId="77777777" w:rsidR="008423E4" w:rsidRDefault="008423E4" w:rsidP="00936DE3"/>
          <w:p w14:paraId="6B267F3B" w14:textId="1C76D6E5" w:rsidR="008423E4" w:rsidRPr="009A5333" w:rsidRDefault="002839FA" w:rsidP="00936DE3">
            <w:pPr>
              <w:pStyle w:val="Header"/>
              <w:tabs>
                <w:tab w:val="clear" w:pos="4320"/>
                <w:tab w:val="clear" w:pos="8640"/>
              </w:tabs>
              <w:jc w:val="both"/>
            </w:pPr>
            <w:r w:rsidRPr="00D737AE">
              <w:t xml:space="preserve">January 1, 2026, if the constitutional amendment to authorize the legislature to provide for a temporary exemption from </w:t>
            </w:r>
            <w:r>
              <w:t>property</w:t>
            </w:r>
            <w:r w:rsidRPr="00D737AE">
              <w:t xml:space="preserve"> taxation of the appraised value of an improvement to a residence homestead that is completely destroyed by a fire is approved by the voters.</w:t>
            </w:r>
          </w:p>
          <w:p w14:paraId="3EEBDCAA" w14:textId="77777777" w:rsidR="008423E4" w:rsidRPr="00233FDB" w:rsidRDefault="008423E4" w:rsidP="00936DE3">
            <w:pPr>
              <w:rPr>
                <w:b/>
              </w:rPr>
            </w:pPr>
          </w:p>
        </w:tc>
      </w:tr>
      <w:tr w:rsidR="00361BC0" w14:paraId="69C6D2A8" w14:textId="77777777" w:rsidTr="00464FDD">
        <w:tc>
          <w:tcPr>
            <w:tcW w:w="9360" w:type="dxa"/>
          </w:tcPr>
          <w:p w14:paraId="395756E4" w14:textId="77777777" w:rsidR="00E64EE7" w:rsidRDefault="002839FA" w:rsidP="00936DE3">
            <w:pPr>
              <w:jc w:val="both"/>
              <w:rPr>
                <w:b/>
                <w:u w:val="single"/>
              </w:rPr>
            </w:pPr>
            <w:r>
              <w:rPr>
                <w:b/>
                <w:u w:val="single"/>
              </w:rPr>
              <w:t>COMPARISON OF SENATE ENGROSSED AND SUBSTITUTE</w:t>
            </w:r>
          </w:p>
          <w:p w14:paraId="64B8F9B6" w14:textId="77777777" w:rsidR="00464FDD" w:rsidRDefault="00464FDD" w:rsidP="00936DE3">
            <w:pPr>
              <w:jc w:val="both"/>
            </w:pPr>
          </w:p>
          <w:p w14:paraId="5BFBCF51" w14:textId="73B6B2D4" w:rsidR="00464FDD" w:rsidRDefault="002839FA" w:rsidP="00936DE3">
            <w:pPr>
              <w:jc w:val="both"/>
            </w:pPr>
            <w:r>
              <w:t>While C.S.S.B. 467 may differ from the engrossed in minor or nonsubstantive ways, the following summarizes the substantial differences between the engrossed and committee substitute versions of the bill.</w:t>
            </w:r>
          </w:p>
          <w:p w14:paraId="5300928F" w14:textId="77777777" w:rsidR="005667C2" w:rsidRDefault="005667C2" w:rsidP="00936DE3">
            <w:pPr>
              <w:jc w:val="both"/>
            </w:pPr>
          </w:p>
          <w:p w14:paraId="6DB71F91" w14:textId="17AFEE33" w:rsidR="008A339A" w:rsidRDefault="002839FA" w:rsidP="00936DE3">
            <w:pPr>
              <w:jc w:val="both"/>
            </w:pPr>
            <w:r>
              <w:t xml:space="preserve">Both the </w:t>
            </w:r>
            <w:r w:rsidR="009148C2">
              <w:t>engrossed</w:t>
            </w:r>
            <w:r>
              <w:t xml:space="preserve"> and the substitute </w:t>
            </w:r>
            <w:r w:rsidRPr="003F5B0F">
              <w:t xml:space="preserve">entitle a person to </w:t>
            </w:r>
            <w:r>
              <w:t>a</w:t>
            </w:r>
            <w:r w:rsidR="003361EA">
              <w:t xml:space="preserve"> temporary</w:t>
            </w:r>
            <w:r>
              <w:t xml:space="preserve"> </w:t>
            </w:r>
            <w:r w:rsidRPr="003F5B0F">
              <w:t>exemption from taxation of the appraised value of an improvement to the person's residence homestead</w:t>
            </w:r>
            <w:r w:rsidR="003361EA">
              <w:t xml:space="preserve"> if the residence homestead is destroyed by fire</w:t>
            </w:r>
            <w:r>
              <w:t xml:space="preserve">. However, whereas the </w:t>
            </w:r>
            <w:r w:rsidR="009148C2">
              <w:t>engrossed</w:t>
            </w:r>
            <w:r>
              <w:t xml:space="preserve"> entitled the person to the exemption if the residence homestead </w:t>
            </w:r>
            <w:r w:rsidRPr="008A339A">
              <w:t>is completely destroyed by a fire</w:t>
            </w:r>
            <w:r>
              <w:t xml:space="preserve">, the substitute entitles the person to the exemption if </w:t>
            </w:r>
            <w:r w:rsidRPr="003F5B0F">
              <w:t xml:space="preserve">the </w:t>
            </w:r>
            <w:r w:rsidR="00944C7B" w:rsidRPr="003F5B0F">
              <w:t>residen</w:t>
            </w:r>
            <w:r w:rsidR="00944C7B">
              <w:t>ce</w:t>
            </w:r>
            <w:r w:rsidR="00944C7B" w:rsidRPr="003F5B0F">
              <w:t xml:space="preserve"> </w:t>
            </w:r>
            <w:r w:rsidRPr="003F5B0F">
              <w:t xml:space="preserve">homestead meets </w:t>
            </w:r>
            <w:r>
              <w:t>the following</w:t>
            </w:r>
            <w:r w:rsidRPr="003F5B0F">
              <w:t xml:space="preserve"> condition</w:t>
            </w:r>
            <w:r>
              <w:t>s:</w:t>
            </w:r>
          </w:p>
          <w:p w14:paraId="6F14C548" w14:textId="77777777" w:rsidR="009148C2" w:rsidRDefault="002839FA" w:rsidP="00936DE3">
            <w:pPr>
              <w:pStyle w:val="Header"/>
              <w:numPr>
                <w:ilvl w:val="0"/>
                <w:numId w:val="2"/>
              </w:numPr>
              <w:tabs>
                <w:tab w:val="clear" w:pos="4320"/>
                <w:tab w:val="clear" w:pos="8640"/>
              </w:tabs>
              <w:jc w:val="both"/>
            </w:pPr>
            <w:r>
              <w:t>it</w:t>
            </w:r>
            <w:r w:rsidRPr="009A5333">
              <w:t xml:space="preserve"> is </w:t>
            </w:r>
            <w:r w:rsidRPr="009A5333">
              <w:t>completely destroyed by a fire</w:t>
            </w:r>
            <w:r>
              <w:t>;</w:t>
            </w:r>
          </w:p>
          <w:p w14:paraId="0AE15930" w14:textId="77777777" w:rsidR="009148C2" w:rsidRDefault="002839FA" w:rsidP="00936DE3">
            <w:pPr>
              <w:pStyle w:val="Header"/>
              <w:numPr>
                <w:ilvl w:val="0"/>
                <w:numId w:val="2"/>
              </w:numPr>
              <w:jc w:val="both"/>
            </w:pPr>
            <w:r>
              <w:t>it is a habitable dwelling immediately before the date the fire occurs; and</w:t>
            </w:r>
          </w:p>
          <w:p w14:paraId="62902028" w14:textId="02274E00" w:rsidR="008A339A" w:rsidRDefault="002839FA" w:rsidP="00936DE3">
            <w:pPr>
              <w:pStyle w:val="ListParagraph"/>
              <w:numPr>
                <w:ilvl w:val="0"/>
                <w:numId w:val="2"/>
              </w:numPr>
              <w:contextualSpacing w:val="0"/>
              <w:jc w:val="both"/>
            </w:pPr>
            <w:r>
              <w:t>it remains uninhabitable for at least 30 days after the date the fire occurs.</w:t>
            </w:r>
          </w:p>
          <w:p w14:paraId="56C92969" w14:textId="163AED87" w:rsidR="005667C2" w:rsidRDefault="002839FA" w:rsidP="00936DE3">
            <w:pPr>
              <w:jc w:val="both"/>
            </w:pPr>
            <w:r>
              <w:t xml:space="preserve"> </w:t>
            </w:r>
          </w:p>
          <w:p w14:paraId="1A660A7D" w14:textId="5B630CFE" w:rsidR="00876682" w:rsidRDefault="002839FA" w:rsidP="00936DE3">
            <w:pPr>
              <w:jc w:val="both"/>
            </w:pPr>
            <w:r>
              <w:t xml:space="preserve">Whereas the engrossed established </w:t>
            </w:r>
            <w:r w:rsidRPr="00876682">
              <w:t xml:space="preserve">that the amount of the exemption in a tax year is calculated by multiplying the appraised value of the improvement for that tax year by a </w:t>
            </w:r>
            <w:r>
              <w:t xml:space="preserve">certain </w:t>
            </w:r>
            <w:r w:rsidRPr="00876682">
              <w:t>fraction</w:t>
            </w:r>
            <w:r>
              <w:t xml:space="preserve">, the substitute establishes that the amount of the exemption is calculated </w:t>
            </w:r>
            <w:r w:rsidRPr="00876682">
              <w:t xml:space="preserve">by multiplying the appraised value of the improvement for the tax year in which the fire occurs by </w:t>
            </w:r>
            <w:r>
              <w:t>that</w:t>
            </w:r>
            <w:r w:rsidRPr="00876682">
              <w:t xml:space="preserve"> fraction</w:t>
            </w:r>
            <w:r>
              <w:t>.</w:t>
            </w:r>
          </w:p>
          <w:p w14:paraId="71D0DF23" w14:textId="77777777" w:rsidR="00876682" w:rsidRDefault="00876682" w:rsidP="00936DE3">
            <w:pPr>
              <w:jc w:val="both"/>
            </w:pPr>
          </w:p>
          <w:p w14:paraId="4F711917" w14:textId="42BCB6EC" w:rsidR="00876682" w:rsidRDefault="002839FA" w:rsidP="00936DE3">
            <w:pPr>
              <w:jc w:val="both"/>
            </w:pPr>
            <w:r>
              <w:t xml:space="preserve">Whereas the engrossed </w:t>
            </w:r>
            <w:r w:rsidRPr="00876682">
              <w:t>require</w:t>
            </w:r>
            <w:r>
              <w:t>d</w:t>
            </w:r>
            <w:r w:rsidRPr="00876682">
              <w:t xml:space="preserve"> the chief appraiser, on receipt of </w:t>
            </w:r>
            <w:r w:rsidRPr="00F82B86">
              <w:t>an application for the exemption</w:t>
            </w:r>
            <w:r w:rsidRPr="00876682">
              <w:t>, to determine whether the improvement was completely destroyed by a fire</w:t>
            </w:r>
            <w:r>
              <w:t xml:space="preserve">, the substitute instead requires the chief appraiser, on receipt of the application, </w:t>
            </w:r>
            <w:r w:rsidRPr="00F82B86">
              <w:t>to determine whether the improvement qualifies for the exemption</w:t>
            </w:r>
            <w:r w:rsidRPr="00876682">
              <w:t xml:space="preserve">. </w:t>
            </w:r>
            <w:r>
              <w:t xml:space="preserve">Accordingly, the </w:t>
            </w:r>
            <w:r w:rsidR="000160FC">
              <w:t xml:space="preserve">substitute </w:t>
            </w:r>
            <w:r>
              <w:t xml:space="preserve">revises the authorization </w:t>
            </w:r>
            <w:r w:rsidR="00C239A1">
              <w:t xml:space="preserve">from the engrossed </w:t>
            </w:r>
            <w:r>
              <w:t xml:space="preserve">for </w:t>
            </w:r>
            <w:r w:rsidRPr="00876682">
              <w:t>the chief appraiser</w:t>
            </w:r>
            <w:r w:rsidR="00D737AE">
              <w:t xml:space="preserve"> to</w:t>
            </w:r>
            <w:r w:rsidR="00D737AE" w:rsidRPr="00876682">
              <w:t xml:space="preserve"> rely on </w:t>
            </w:r>
            <w:r w:rsidR="00D737AE">
              <w:t>certain information</w:t>
            </w:r>
            <w:r>
              <w:t xml:space="preserve"> in</w:t>
            </w:r>
            <w:r w:rsidRPr="00F82B86">
              <w:t xml:space="preserve"> determining whether an improvement is completely destroyed by a fire </w:t>
            </w:r>
            <w:r>
              <w:t>by specifyi</w:t>
            </w:r>
            <w:r>
              <w:t xml:space="preserve">ng that the chief appraiser </w:t>
            </w:r>
            <w:r w:rsidR="00F02BC7">
              <w:t xml:space="preserve">may </w:t>
            </w:r>
            <w:r w:rsidR="000160FC">
              <w:t>rely on that information to determine</w:t>
            </w:r>
            <w:r>
              <w:t xml:space="preserve"> whether an improvement qualifies for the exemption</w:t>
            </w:r>
            <w:r w:rsidRPr="00876682">
              <w:t>.</w:t>
            </w:r>
          </w:p>
          <w:p w14:paraId="6CC2029E" w14:textId="77777777" w:rsidR="00C239A1" w:rsidRDefault="00C239A1" w:rsidP="00936DE3">
            <w:pPr>
              <w:jc w:val="both"/>
            </w:pPr>
          </w:p>
          <w:p w14:paraId="2A3DB908" w14:textId="3A4039FD" w:rsidR="00C239A1" w:rsidRDefault="002839FA" w:rsidP="00936DE3">
            <w:pPr>
              <w:jc w:val="both"/>
            </w:pPr>
            <w:r>
              <w:t xml:space="preserve">The substitute revises the provision from the engrossed that </w:t>
            </w:r>
            <w:r w:rsidRPr="00C239A1">
              <w:t>require</w:t>
            </w:r>
            <w:r>
              <w:t xml:space="preserve">d </w:t>
            </w:r>
            <w:r w:rsidRPr="00C239A1">
              <w:t xml:space="preserve">the assessor for each applicable taxing unit, if a person qualifies for the exemption </w:t>
            </w:r>
            <w:r>
              <w:t>as applicable</w:t>
            </w:r>
            <w:r w:rsidRPr="00C239A1">
              <w:t>, to recalculate the amount of the tax due on the property and correct the tax roll</w:t>
            </w:r>
            <w:r>
              <w:t xml:space="preserve"> by specifying that the assessor is required to do so if the person becomes entitled to the exemption.</w:t>
            </w:r>
          </w:p>
          <w:p w14:paraId="731B818F" w14:textId="77777777" w:rsidR="00C239A1" w:rsidRDefault="00C239A1" w:rsidP="00936DE3">
            <w:pPr>
              <w:jc w:val="both"/>
            </w:pPr>
          </w:p>
          <w:p w14:paraId="01DBD6A9" w14:textId="5755D735" w:rsidR="00464FDD" w:rsidRPr="00464FDD" w:rsidRDefault="002839FA" w:rsidP="00936DE3">
            <w:pPr>
              <w:jc w:val="both"/>
            </w:pPr>
            <w:r>
              <w:t>The substitute omits the provision of the engrossed requiring</w:t>
            </w:r>
            <w:r w:rsidRPr="00C239A1">
              <w:t xml:space="preserve"> the comptroller of public accounts, in consultation with appraisal districts</w:t>
            </w:r>
            <w:r w:rsidR="005440A2">
              <w:t>,</w:t>
            </w:r>
            <w:r w:rsidRPr="00C239A1">
              <w:t xml:space="preserve"> to develop guidelines for determining whether an improvement is completely destroyed by a fire and to distribute those guidelines to each appraisal district</w:t>
            </w:r>
            <w:r w:rsidR="00E95EA1">
              <w:t xml:space="preserve"> and omits the corresponding procedural provision</w:t>
            </w:r>
            <w:r w:rsidR="00411342">
              <w:t xml:space="preserve"> setting the deadline for such development on September 1, 2026</w:t>
            </w:r>
            <w:r w:rsidR="00E95EA1">
              <w:t>.</w:t>
            </w:r>
          </w:p>
        </w:tc>
      </w:tr>
    </w:tbl>
    <w:p w14:paraId="6BFA91B7" w14:textId="77777777" w:rsidR="004108C3" w:rsidRPr="00936DE3" w:rsidRDefault="004108C3" w:rsidP="00936DE3">
      <w:pPr>
        <w:rPr>
          <w:sz w:val="2"/>
          <w:szCs w:val="2"/>
        </w:rPr>
      </w:pPr>
    </w:p>
    <w:sectPr w:rsidR="004108C3" w:rsidRPr="00936DE3"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97B" w14:textId="77777777" w:rsidR="002839FA" w:rsidRDefault="002839FA">
      <w:r>
        <w:separator/>
      </w:r>
    </w:p>
  </w:endnote>
  <w:endnote w:type="continuationSeparator" w:id="0">
    <w:p w14:paraId="1678A8E1" w14:textId="77777777" w:rsidR="002839FA" w:rsidRDefault="0028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2169"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61BC0" w14:paraId="0E695A9E" w14:textId="77777777" w:rsidTr="009C1E9A">
      <w:trPr>
        <w:cantSplit/>
      </w:trPr>
      <w:tc>
        <w:tcPr>
          <w:tcW w:w="0" w:type="pct"/>
        </w:tcPr>
        <w:p w14:paraId="6642345F" w14:textId="77777777" w:rsidR="00137D90" w:rsidRDefault="00137D90" w:rsidP="009C1E9A">
          <w:pPr>
            <w:pStyle w:val="Footer"/>
            <w:tabs>
              <w:tab w:val="clear" w:pos="8640"/>
              <w:tab w:val="right" w:pos="9360"/>
            </w:tabs>
          </w:pPr>
        </w:p>
      </w:tc>
      <w:tc>
        <w:tcPr>
          <w:tcW w:w="2395" w:type="pct"/>
        </w:tcPr>
        <w:p w14:paraId="14DFFFC0" w14:textId="77777777" w:rsidR="00137D90" w:rsidRDefault="00137D90" w:rsidP="009C1E9A">
          <w:pPr>
            <w:pStyle w:val="Footer"/>
            <w:tabs>
              <w:tab w:val="clear" w:pos="8640"/>
              <w:tab w:val="right" w:pos="9360"/>
            </w:tabs>
          </w:pPr>
        </w:p>
        <w:p w14:paraId="7063170E" w14:textId="77777777" w:rsidR="001A4310" w:rsidRDefault="001A4310" w:rsidP="009C1E9A">
          <w:pPr>
            <w:pStyle w:val="Footer"/>
            <w:tabs>
              <w:tab w:val="clear" w:pos="8640"/>
              <w:tab w:val="right" w:pos="9360"/>
            </w:tabs>
          </w:pPr>
        </w:p>
        <w:p w14:paraId="247857AB" w14:textId="77777777" w:rsidR="00137D90" w:rsidRDefault="00137D90" w:rsidP="009C1E9A">
          <w:pPr>
            <w:pStyle w:val="Footer"/>
            <w:tabs>
              <w:tab w:val="clear" w:pos="8640"/>
              <w:tab w:val="right" w:pos="9360"/>
            </w:tabs>
          </w:pPr>
        </w:p>
      </w:tc>
      <w:tc>
        <w:tcPr>
          <w:tcW w:w="2453" w:type="pct"/>
        </w:tcPr>
        <w:p w14:paraId="37C7FE08" w14:textId="77777777" w:rsidR="00137D90" w:rsidRDefault="00137D90" w:rsidP="009C1E9A">
          <w:pPr>
            <w:pStyle w:val="Footer"/>
            <w:tabs>
              <w:tab w:val="clear" w:pos="8640"/>
              <w:tab w:val="right" w:pos="9360"/>
            </w:tabs>
            <w:jc w:val="right"/>
          </w:pPr>
        </w:p>
      </w:tc>
    </w:tr>
    <w:tr w:rsidR="00361BC0" w14:paraId="1BF9CB1F" w14:textId="77777777" w:rsidTr="009C1E9A">
      <w:trPr>
        <w:cantSplit/>
      </w:trPr>
      <w:tc>
        <w:tcPr>
          <w:tcW w:w="0" w:type="pct"/>
        </w:tcPr>
        <w:p w14:paraId="7AC60D7A" w14:textId="77777777" w:rsidR="00EC379B" w:rsidRDefault="00EC379B" w:rsidP="009C1E9A">
          <w:pPr>
            <w:pStyle w:val="Footer"/>
            <w:tabs>
              <w:tab w:val="clear" w:pos="8640"/>
              <w:tab w:val="right" w:pos="9360"/>
            </w:tabs>
          </w:pPr>
        </w:p>
      </w:tc>
      <w:tc>
        <w:tcPr>
          <w:tcW w:w="2395" w:type="pct"/>
        </w:tcPr>
        <w:p w14:paraId="1AFFF65C" w14:textId="449C9371" w:rsidR="00EC379B" w:rsidRPr="009C1E9A" w:rsidRDefault="002839FA" w:rsidP="009C1E9A">
          <w:pPr>
            <w:pStyle w:val="Footer"/>
            <w:tabs>
              <w:tab w:val="clear" w:pos="8640"/>
              <w:tab w:val="right" w:pos="9360"/>
            </w:tabs>
            <w:rPr>
              <w:rFonts w:ascii="Shruti" w:hAnsi="Shruti"/>
              <w:sz w:val="22"/>
            </w:rPr>
          </w:pPr>
          <w:r>
            <w:rPr>
              <w:rFonts w:ascii="Shruti" w:hAnsi="Shruti"/>
              <w:sz w:val="22"/>
            </w:rPr>
            <w:t>89R 31114-D</w:t>
          </w:r>
        </w:p>
      </w:tc>
      <w:tc>
        <w:tcPr>
          <w:tcW w:w="2453" w:type="pct"/>
        </w:tcPr>
        <w:p w14:paraId="689AF6C5" w14:textId="4BA31604" w:rsidR="00EC379B" w:rsidRDefault="002839FA" w:rsidP="009C1E9A">
          <w:pPr>
            <w:pStyle w:val="Footer"/>
            <w:tabs>
              <w:tab w:val="clear" w:pos="8640"/>
              <w:tab w:val="right" w:pos="9360"/>
            </w:tabs>
            <w:jc w:val="right"/>
          </w:pPr>
          <w:r>
            <w:fldChar w:fldCharType="begin"/>
          </w:r>
          <w:r>
            <w:instrText xml:space="preserve"> DOCPROPERTY  OTID  \* MERGEFORMAT </w:instrText>
          </w:r>
          <w:r>
            <w:fldChar w:fldCharType="separate"/>
          </w:r>
          <w:r w:rsidR="00436B8C">
            <w:t>25.136.1260</w:t>
          </w:r>
          <w:r>
            <w:fldChar w:fldCharType="end"/>
          </w:r>
        </w:p>
      </w:tc>
    </w:tr>
    <w:tr w:rsidR="00361BC0" w14:paraId="1072822B" w14:textId="77777777" w:rsidTr="009C1E9A">
      <w:trPr>
        <w:cantSplit/>
      </w:trPr>
      <w:tc>
        <w:tcPr>
          <w:tcW w:w="0" w:type="pct"/>
        </w:tcPr>
        <w:p w14:paraId="58F218C9" w14:textId="77777777" w:rsidR="00EC379B" w:rsidRDefault="00EC379B" w:rsidP="009C1E9A">
          <w:pPr>
            <w:pStyle w:val="Footer"/>
            <w:tabs>
              <w:tab w:val="clear" w:pos="4320"/>
              <w:tab w:val="clear" w:pos="8640"/>
              <w:tab w:val="left" w:pos="2865"/>
            </w:tabs>
          </w:pPr>
        </w:p>
      </w:tc>
      <w:tc>
        <w:tcPr>
          <w:tcW w:w="2395" w:type="pct"/>
        </w:tcPr>
        <w:p w14:paraId="5AADBD85" w14:textId="064DDE90" w:rsidR="00EC379B" w:rsidRPr="009C1E9A" w:rsidRDefault="002839FA" w:rsidP="009C1E9A">
          <w:pPr>
            <w:pStyle w:val="Footer"/>
            <w:tabs>
              <w:tab w:val="clear" w:pos="4320"/>
              <w:tab w:val="clear" w:pos="8640"/>
              <w:tab w:val="left" w:pos="2865"/>
            </w:tabs>
            <w:rPr>
              <w:rFonts w:ascii="Shruti" w:hAnsi="Shruti"/>
              <w:sz w:val="22"/>
            </w:rPr>
          </w:pPr>
          <w:r>
            <w:rPr>
              <w:rFonts w:ascii="Shruti" w:hAnsi="Shruti"/>
              <w:sz w:val="22"/>
            </w:rPr>
            <w:t>Substitute Document Number: 89R 29156</w:t>
          </w:r>
        </w:p>
      </w:tc>
      <w:tc>
        <w:tcPr>
          <w:tcW w:w="2453" w:type="pct"/>
        </w:tcPr>
        <w:p w14:paraId="564C83BD" w14:textId="77777777" w:rsidR="00EC379B" w:rsidRDefault="00EC379B" w:rsidP="006D504F">
          <w:pPr>
            <w:pStyle w:val="Footer"/>
            <w:rPr>
              <w:rStyle w:val="PageNumber"/>
            </w:rPr>
          </w:pPr>
        </w:p>
        <w:p w14:paraId="5066BD21" w14:textId="77777777" w:rsidR="00EC379B" w:rsidRDefault="00EC379B" w:rsidP="009C1E9A">
          <w:pPr>
            <w:pStyle w:val="Footer"/>
            <w:tabs>
              <w:tab w:val="clear" w:pos="8640"/>
              <w:tab w:val="right" w:pos="9360"/>
            </w:tabs>
            <w:jc w:val="right"/>
          </w:pPr>
        </w:p>
      </w:tc>
    </w:tr>
    <w:tr w:rsidR="00361BC0" w14:paraId="197AE7D6" w14:textId="77777777" w:rsidTr="009C1E9A">
      <w:trPr>
        <w:cantSplit/>
        <w:trHeight w:val="323"/>
      </w:trPr>
      <w:tc>
        <w:tcPr>
          <w:tcW w:w="0" w:type="pct"/>
          <w:gridSpan w:val="3"/>
        </w:tcPr>
        <w:p w14:paraId="13F863AC" w14:textId="77777777" w:rsidR="00EC379B" w:rsidRDefault="002839F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B146BDE" w14:textId="77777777" w:rsidR="00EC379B" w:rsidRDefault="00EC379B" w:rsidP="009C1E9A">
          <w:pPr>
            <w:pStyle w:val="Footer"/>
            <w:tabs>
              <w:tab w:val="clear" w:pos="8640"/>
              <w:tab w:val="right" w:pos="9360"/>
            </w:tabs>
            <w:jc w:val="center"/>
          </w:pPr>
        </w:p>
      </w:tc>
    </w:tr>
  </w:tbl>
  <w:p w14:paraId="1B1CBB7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E5EB"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76AC" w14:textId="77777777" w:rsidR="002839FA" w:rsidRDefault="002839FA">
      <w:r>
        <w:separator/>
      </w:r>
    </w:p>
  </w:footnote>
  <w:footnote w:type="continuationSeparator" w:id="0">
    <w:p w14:paraId="6851E3CF" w14:textId="77777777" w:rsidR="002839FA" w:rsidRDefault="0028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73F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0A8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4C70"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F41"/>
    <w:multiLevelType w:val="hybridMultilevel"/>
    <w:tmpl w:val="74A67E02"/>
    <w:lvl w:ilvl="0" w:tplc="5DDAFA36">
      <w:start w:val="1"/>
      <w:numFmt w:val="bullet"/>
      <w:lvlText w:val=""/>
      <w:lvlJc w:val="left"/>
      <w:pPr>
        <w:tabs>
          <w:tab w:val="num" w:pos="720"/>
        </w:tabs>
        <w:ind w:left="720" w:hanging="360"/>
      </w:pPr>
      <w:rPr>
        <w:rFonts w:ascii="Symbol" w:hAnsi="Symbol" w:hint="default"/>
      </w:rPr>
    </w:lvl>
    <w:lvl w:ilvl="1" w:tplc="8EBC2AFC" w:tentative="1">
      <w:start w:val="1"/>
      <w:numFmt w:val="bullet"/>
      <w:lvlText w:val="o"/>
      <w:lvlJc w:val="left"/>
      <w:pPr>
        <w:ind w:left="1440" w:hanging="360"/>
      </w:pPr>
      <w:rPr>
        <w:rFonts w:ascii="Courier New" w:hAnsi="Courier New" w:cs="Courier New" w:hint="default"/>
      </w:rPr>
    </w:lvl>
    <w:lvl w:ilvl="2" w:tplc="5EAAFCA0" w:tentative="1">
      <w:start w:val="1"/>
      <w:numFmt w:val="bullet"/>
      <w:lvlText w:val=""/>
      <w:lvlJc w:val="left"/>
      <w:pPr>
        <w:ind w:left="2160" w:hanging="360"/>
      </w:pPr>
      <w:rPr>
        <w:rFonts w:ascii="Wingdings" w:hAnsi="Wingdings" w:hint="default"/>
      </w:rPr>
    </w:lvl>
    <w:lvl w:ilvl="3" w:tplc="522E3942" w:tentative="1">
      <w:start w:val="1"/>
      <w:numFmt w:val="bullet"/>
      <w:lvlText w:val=""/>
      <w:lvlJc w:val="left"/>
      <w:pPr>
        <w:ind w:left="2880" w:hanging="360"/>
      </w:pPr>
      <w:rPr>
        <w:rFonts w:ascii="Symbol" w:hAnsi="Symbol" w:hint="default"/>
      </w:rPr>
    </w:lvl>
    <w:lvl w:ilvl="4" w:tplc="0F105332" w:tentative="1">
      <w:start w:val="1"/>
      <w:numFmt w:val="bullet"/>
      <w:lvlText w:val="o"/>
      <w:lvlJc w:val="left"/>
      <w:pPr>
        <w:ind w:left="3600" w:hanging="360"/>
      </w:pPr>
      <w:rPr>
        <w:rFonts w:ascii="Courier New" w:hAnsi="Courier New" w:cs="Courier New" w:hint="default"/>
      </w:rPr>
    </w:lvl>
    <w:lvl w:ilvl="5" w:tplc="18A60A78" w:tentative="1">
      <w:start w:val="1"/>
      <w:numFmt w:val="bullet"/>
      <w:lvlText w:val=""/>
      <w:lvlJc w:val="left"/>
      <w:pPr>
        <w:ind w:left="4320" w:hanging="360"/>
      </w:pPr>
      <w:rPr>
        <w:rFonts w:ascii="Wingdings" w:hAnsi="Wingdings" w:hint="default"/>
      </w:rPr>
    </w:lvl>
    <w:lvl w:ilvl="6" w:tplc="F9643280" w:tentative="1">
      <w:start w:val="1"/>
      <w:numFmt w:val="bullet"/>
      <w:lvlText w:val=""/>
      <w:lvlJc w:val="left"/>
      <w:pPr>
        <w:ind w:left="5040" w:hanging="360"/>
      </w:pPr>
      <w:rPr>
        <w:rFonts w:ascii="Symbol" w:hAnsi="Symbol" w:hint="default"/>
      </w:rPr>
    </w:lvl>
    <w:lvl w:ilvl="7" w:tplc="C2EA2084" w:tentative="1">
      <w:start w:val="1"/>
      <w:numFmt w:val="bullet"/>
      <w:lvlText w:val="o"/>
      <w:lvlJc w:val="left"/>
      <w:pPr>
        <w:ind w:left="5760" w:hanging="360"/>
      </w:pPr>
      <w:rPr>
        <w:rFonts w:ascii="Courier New" w:hAnsi="Courier New" w:cs="Courier New" w:hint="default"/>
      </w:rPr>
    </w:lvl>
    <w:lvl w:ilvl="8" w:tplc="E71492B2" w:tentative="1">
      <w:start w:val="1"/>
      <w:numFmt w:val="bullet"/>
      <w:lvlText w:val=""/>
      <w:lvlJc w:val="left"/>
      <w:pPr>
        <w:ind w:left="6480" w:hanging="360"/>
      </w:pPr>
      <w:rPr>
        <w:rFonts w:ascii="Wingdings" w:hAnsi="Wingdings" w:hint="default"/>
      </w:rPr>
    </w:lvl>
  </w:abstractNum>
  <w:abstractNum w:abstractNumId="1" w15:restartNumberingAfterBreak="0">
    <w:nsid w:val="31F54A02"/>
    <w:multiLevelType w:val="hybridMultilevel"/>
    <w:tmpl w:val="C98457C8"/>
    <w:lvl w:ilvl="0" w:tplc="5C547804">
      <w:start w:val="1"/>
      <w:numFmt w:val="bullet"/>
      <w:lvlText w:val=""/>
      <w:lvlJc w:val="left"/>
      <w:pPr>
        <w:tabs>
          <w:tab w:val="num" w:pos="720"/>
        </w:tabs>
        <w:ind w:left="720" w:hanging="360"/>
      </w:pPr>
      <w:rPr>
        <w:rFonts w:ascii="Symbol" w:hAnsi="Symbol" w:hint="default"/>
      </w:rPr>
    </w:lvl>
    <w:lvl w:ilvl="1" w:tplc="C6C87E14" w:tentative="1">
      <w:start w:val="1"/>
      <w:numFmt w:val="bullet"/>
      <w:lvlText w:val="o"/>
      <w:lvlJc w:val="left"/>
      <w:pPr>
        <w:ind w:left="1440" w:hanging="360"/>
      </w:pPr>
      <w:rPr>
        <w:rFonts w:ascii="Courier New" w:hAnsi="Courier New" w:cs="Courier New" w:hint="default"/>
      </w:rPr>
    </w:lvl>
    <w:lvl w:ilvl="2" w:tplc="52F28A84" w:tentative="1">
      <w:start w:val="1"/>
      <w:numFmt w:val="bullet"/>
      <w:lvlText w:val=""/>
      <w:lvlJc w:val="left"/>
      <w:pPr>
        <w:ind w:left="2160" w:hanging="360"/>
      </w:pPr>
      <w:rPr>
        <w:rFonts w:ascii="Wingdings" w:hAnsi="Wingdings" w:hint="default"/>
      </w:rPr>
    </w:lvl>
    <w:lvl w:ilvl="3" w:tplc="7F846102" w:tentative="1">
      <w:start w:val="1"/>
      <w:numFmt w:val="bullet"/>
      <w:lvlText w:val=""/>
      <w:lvlJc w:val="left"/>
      <w:pPr>
        <w:ind w:left="2880" w:hanging="360"/>
      </w:pPr>
      <w:rPr>
        <w:rFonts w:ascii="Symbol" w:hAnsi="Symbol" w:hint="default"/>
      </w:rPr>
    </w:lvl>
    <w:lvl w:ilvl="4" w:tplc="EECEDC20" w:tentative="1">
      <w:start w:val="1"/>
      <w:numFmt w:val="bullet"/>
      <w:lvlText w:val="o"/>
      <w:lvlJc w:val="left"/>
      <w:pPr>
        <w:ind w:left="3600" w:hanging="360"/>
      </w:pPr>
      <w:rPr>
        <w:rFonts w:ascii="Courier New" w:hAnsi="Courier New" w:cs="Courier New" w:hint="default"/>
      </w:rPr>
    </w:lvl>
    <w:lvl w:ilvl="5" w:tplc="60ECABB6" w:tentative="1">
      <w:start w:val="1"/>
      <w:numFmt w:val="bullet"/>
      <w:lvlText w:val=""/>
      <w:lvlJc w:val="left"/>
      <w:pPr>
        <w:ind w:left="4320" w:hanging="360"/>
      </w:pPr>
      <w:rPr>
        <w:rFonts w:ascii="Wingdings" w:hAnsi="Wingdings" w:hint="default"/>
      </w:rPr>
    </w:lvl>
    <w:lvl w:ilvl="6" w:tplc="FF586C2E" w:tentative="1">
      <w:start w:val="1"/>
      <w:numFmt w:val="bullet"/>
      <w:lvlText w:val=""/>
      <w:lvlJc w:val="left"/>
      <w:pPr>
        <w:ind w:left="5040" w:hanging="360"/>
      </w:pPr>
      <w:rPr>
        <w:rFonts w:ascii="Symbol" w:hAnsi="Symbol" w:hint="default"/>
      </w:rPr>
    </w:lvl>
    <w:lvl w:ilvl="7" w:tplc="9C0867D0" w:tentative="1">
      <w:start w:val="1"/>
      <w:numFmt w:val="bullet"/>
      <w:lvlText w:val="o"/>
      <w:lvlJc w:val="left"/>
      <w:pPr>
        <w:ind w:left="5760" w:hanging="360"/>
      </w:pPr>
      <w:rPr>
        <w:rFonts w:ascii="Courier New" w:hAnsi="Courier New" w:cs="Courier New" w:hint="default"/>
      </w:rPr>
    </w:lvl>
    <w:lvl w:ilvl="8" w:tplc="1422A9E8" w:tentative="1">
      <w:start w:val="1"/>
      <w:numFmt w:val="bullet"/>
      <w:lvlText w:val=""/>
      <w:lvlJc w:val="left"/>
      <w:pPr>
        <w:ind w:left="6480" w:hanging="360"/>
      </w:pPr>
      <w:rPr>
        <w:rFonts w:ascii="Wingdings" w:hAnsi="Wingdings" w:hint="default"/>
      </w:rPr>
    </w:lvl>
  </w:abstractNum>
  <w:num w:numId="1" w16cid:durableId="1460344420">
    <w:abstractNumId w:val="1"/>
  </w:num>
  <w:num w:numId="2" w16cid:durableId="58623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33"/>
    <w:rsid w:val="00000A70"/>
    <w:rsid w:val="000032B8"/>
    <w:rsid w:val="00003B06"/>
    <w:rsid w:val="000054B9"/>
    <w:rsid w:val="00007461"/>
    <w:rsid w:val="0001117E"/>
    <w:rsid w:val="0001125F"/>
    <w:rsid w:val="0001338E"/>
    <w:rsid w:val="00013D24"/>
    <w:rsid w:val="00014AF0"/>
    <w:rsid w:val="000155D6"/>
    <w:rsid w:val="00015D4E"/>
    <w:rsid w:val="000160FC"/>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4ABB"/>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0FE"/>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125"/>
    <w:rsid w:val="002734D6"/>
    <w:rsid w:val="00274C45"/>
    <w:rsid w:val="00275109"/>
    <w:rsid w:val="00275BEE"/>
    <w:rsid w:val="00277434"/>
    <w:rsid w:val="00280123"/>
    <w:rsid w:val="00281343"/>
    <w:rsid w:val="00281883"/>
    <w:rsid w:val="002839FA"/>
    <w:rsid w:val="002874E3"/>
    <w:rsid w:val="00287656"/>
    <w:rsid w:val="00291518"/>
    <w:rsid w:val="00296FF0"/>
    <w:rsid w:val="002A17C0"/>
    <w:rsid w:val="002A48DF"/>
    <w:rsid w:val="002A5A84"/>
    <w:rsid w:val="002A6E68"/>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44CE"/>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20C"/>
    <w:rsid w:val="00321337"/>
    <w:rsid w:val="00321F2F"/>
    <w:rsid w:val="003237F6"/>
    <w:rsid w:val="00324077"/>
    <w:rsid w:val="0032453B"/>
    <w:rsid w:val="00324868"/>
    <w:rsid w:val="003305F5"/>
    <w:rsid w:val="00333930"/>
    <w:rsid w:val="003361EA"/>
    <w:rsid w:val="00336BA4"/>
    <w:rsid w:val="00336C7A"/>
    <w:rsid w:val="00337392"/>
    <w:rsid w:val="00337659"/>
    <w:rsid w:val="003427C9"/>
    <w:rsid w:val="00343A92"/>
    <w:rsid w:val="00344530"/>
    <w:rsid w:val="003446DC"/>
    <w:rsid w:val="003478B1"/>
    <w:rsid w:val="00347B4A"/>
    <w:rsid w:val="003500C3"/>
    <w:rsid w:val="003523BD"/>
    <w:rsid w:val="00352681"/>
    <w:rsid w:val="003536AA"/>
    <w:rsid w:val="003544CE"/>
    <w:rsid w:val="00355A98"/>
    <w:rsid w:val="00355D7E"/>
    <w:rsid w:val="003568DE"/>
    <w:rsid w:val="00357CA1"/>
    <w:rsid w:val="00361BC0"/>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5B0F"/>
    <w:rsid w:val="003F77F8"/>
    <w:rsid w:val="00400ACD"/>
    <w:rsid w:val="00403B15"/>
    <w:rsid w:val="00403E8A"/>
    <w:rsid w:val="00404FAE"/>
    <w:rsid w:val="004101E4"/>
    <w:rsid w:val="00410661"/>
    <w:rsid w:val="004108C3"/>
    <w:rsid w:val="00410B33"/>
    <w:rsid w:val="00411342"/>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36B8C"/>
    <w:rsid w:val="00441016"/>
    <w:rsid w:val="00441F2F"/>
    <w:rsid w:val="0044228B"/>
    <w:rsid w:val="00447018"/>
    <w:rsid w:val="00450561"/>
    <w:rsid w:val="00450A40"/>
    <w:rsid w:val="00451D7C"/>
    <w:rsid w:val="00452FC3"/>
    <w:rsid w:val="00454715"/>
    <w:rsid w:val="00455936"/>
    <w:rsid w:val="00455ACE"/>
    <w:rsid w:val="00461B69"/>
    <w:rsid w:val="00462B3D"/>
    <w:rsid w:val="00464FDD"/>
    <w:rsid w:val="00465455"/>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1ABF"/>
    <w:rsid w:val="004C302F"/>
    <w:rsid w:val="004C32E5"/>
    <w:rsid w:val="004C4609"/>
    <w:rsid w:val="004C4B8A"/>
    <w:rsid w:val="004C52EF"/>
    <w:rsid w:val="004C5F34"/>
    <w:rsid w:val="004C600C"/>
    <w:rsid w:val="004C7888"/>
    <w:rsid w:val="004D1AC9"/>
    <w:rsid w:val="004D27DE"/>
    <w:rsid w:val="004D3F41"/>
    <w:rsid w:val="004D5098"/>
    <w:rsid w:val="004D6497"/>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40A2"/>
    <w:rsid w:val="00545548"/>
    <w:rsid w:val="00546923"/>
    <w:rsid w:val="00551CA6"/>
    <w:rsid w:val="00555034"/>
    <w:rsid w:val="005570D2"/>
    <w:rsid w:val="00561528"/>
    <w:rsid w:val="0056153F"/>
    <w:rsid w:val="00561B14"/>
    <w:rsid w:val="00562C87"/>
    <w:rsid w:val="005636BD"/>
    <w:rsid w:val="005666D5"/>
    <w:rsid w:val="005667C2"/>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051B"/>
    <w:rsid w:val="005D1444"/>
    <w:rsid w:val="005D4DAE"/>
    <w:rsid w:val="005D4F3B"/>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5501"/>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46F8"/>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6597"/>
    <w:rsid w:val="007509BE"/>
    <w:rsid w:val="0075287B"/>
    <w:rsid w:val="00755C7B"/>
    <w:rsid w:val="00763632"/>
    <w:rsid w:val="00763835"/>
    <w:rsid w:val="00764786"/>
    <w:rsid w:val="00766E12"/>
    <w:rsid w:val="0077098E"/>
    <w:rsid w:val="00771287"/>
    <w:rsid w:val="0077149E"/>
    <w:rsid w:val="007760D8"/>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16D8"/>
    <w:rsid w:val="007D2892"/>
    <w:rsid w:val="007D2DCC"/>
    <w:rsid w:val="007D47E1"/>
    <w:rsid w:val="007D7FCB"/>
    <w:rsid w:val="007E33B6"/>
    <w:rsid w:val="007E59E8"/>
    <w:rsid w:val="007F1172"/>
    <w:rsid w:val="007F3861"/>
    <w:rsid w:val="007F4162"/>
    <w:rsid w:val="007F5441"/>
    <w:rsid w:val="007F7668"/>
    <w:rsid w:val="00800C63"/>
    <w:rsid w:val="00802243"/>
    <w:rsid w:val="008023D4"/>
    <w:rsid w:val="008040DA"/>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682"/>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39A"/>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48C2"/>
    <w:rsid w:val="00915568"/>
    <w:rsid w:val="009173A2"/>
    <w:rsid w:val="00917E0C"/>
    <w:rsid w:val="00920711"/>
    <w:rsid w:val="00921A1E"/>
    <w:rsid w:val="00924EA9"/>
    <w:rsid w:val="00925CE1"/>
    <w:rsid w:val="00925F5C"/>
    <w:rsid w:val="00930897"/>
    <w:rsid w:val="009320D2"/>
    <w:rsid w:val="009329FB"/>
    <w:rsid w:val="00932C77"/>
    <w:rsid w:val="0093417F"/>
    <w:rsid w:val="00934AC2"/>
    <w:rsid w:val="00936DE3"/>
    <w:rsid w:val="009375BB"/>
    <w:rsid w:val="009418E9"/>
    <w:rsid w:val="00942141"/>
    <w:rsid w:val="00944C7B"/>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333"/>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3FD7"/>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35D3"/>
    <w:rsid w:val="00AD4497"/>
    <w:rsid w:val="00AD7780"/>
    <w:rsid w:val="00AE2263"/>
    <w:rsid w:val="00AE248E"/>
    <w:rsid w:val="00AE2D12"/>
    <w:rsid w:val="00AE2F06"/>
    <w:rsid w:val="00AE4F1C"/>
    <w:rsid w:val="00AF1433"/>
    <w:rsid w:val="00AF48B4"/>
    <w:rsid w:val="00AF4923"/>
    <w:rsid w:val="00AF7C74"/>
    <w:rsid w:val="00AF7F9D"/>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39A1"/>
    <w:rsid w:val="00C248E6"/>
    <w:rsid w:val="00C2766F"/>
    <w:rsid w:val="00C3223B"/>
    <w:rsid w:val="00C333C6"/>
    <w:rsid w:val="00C35CC5"/>
    <w:rsid w:val="00C361C5"/>
    <w:rsid w:val="00C377D1"/>
    <w:rsid w:val="00C37BDA"/>
    <w:rsid w:val="00C37C84"/>
    <w:rsid w:val="00C42B41"/>
    <w:rsid w:val="00C46166"/>
    <w:rsid w:val="00C4710D"/>
    <w:rsid w:val="00C47A6B"/>
    <w:rsid w:val="00C50CAD"/>
    <w:rsid w:val="00C51AA0"/>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4953"/>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37AE"/>
    <w:rsid w:val="00D7532D"/>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4EE7"/>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5EA1"/>
    <w:rsid w:val="00E96852"/>
    <w:rsid w:val="00EA16AC"/>
    <w:rsid w:val="00EA385A"/>
    <w:rsid w:val="00EA3931"/>
    <w:rsid w:val="00EA658E"/>
    <w:rsid w:val="00EA7A88"/>
    <w:rsid w:val="00EB27F2"/>
    <w:rsid w:val="00EB3928"/>
    <w:rsid w:val="00EB5373"/>
    <w:rsid w:val="00EB6776"/>
    <w:rsid w:val="00EC02A2"/>
    <w:rsid w:val="00EC379B"/>
    <w:rsid w:val="00EC37DF"/>
    <w:rsid w:val="00EC3A99"/>
    <w:rsid w:val="00EC41B1"/>
    <w:rsid w:val="00ED0665"/>
    <w:rsid w:val="00ED12C0"/>
    <w:rsid w:val="00ED19F0"/>
    <w:rsid w:val="00ED1FB5"/>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2BC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1729"/>
    <w:rsid w:val="00F52402"/>
    <w:rsid w:val="00F5605D"/>
    <w:rsid w:val="00F56F28"/>
    <w:rsid w:val="00F6514B"/>
    <w:rsid w:val="00F6533E"/>
    <w:rsid w:val="00F6587F"/>
    <w:rsid w:val="00F67981"/>
    <w:rsid w:val="00F706CA"/>
    <w:rsid w:val="00F70F8D"/>
    <w:rsid w:val="00F71C5A"/>
    <w:rsid w:val="00F733A4"/>
    <w:rsid w:val="00F7758F"/>
    <w:rsid w:val="00F82811"/>
    <w:rsid w:val="00F82B86"/>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178E6D-D647-4C34-B445-15F06FBC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2120C"/>
    <w:rPr>
      <w:sz w:val="16"/>
      <w:szCs w:val="16"/>
    </w:rPr>
  </w:style>
  <w:style w:type="paragraph" w:styleId="CommentText">
    <w:name w:val="annotation text"/>
    <w:basedOn w:val="Normal"/>
    <w:link w:val="CommentTextChar"/>
    <w:unhideWhenUsed/>
    <w:rsid w:val="0032120C"/>
    <w:rPr>
      <w:sz w:val="20"/>
      <w:szCs w:val="20"/>
    </w:rPr>
  </w:style>
  <w:style w:type="character" w:customStyle="1" w:styleId="CommentTextChar">
    <w:name w:val="Comment Text Char"/>
    <w:basedOn w:val="DefaultParagraphFont"/>
    <w:link w:val="CommentText"/>
    <w:rsid w:val="0032120C"/>
  </w:style>
  <w:style w:type="paragraph" w:styleId="CommentSubject">
    <w:name w:val="annotation subject"/>
    <w:basedOn w:val="CommentText"/>
    <w:next w:val="CommentText"/>
    <w:link w:val="CommentSubjectChar"/>
    <w:semiHidden/>
    <w:unhideWhenUsed/>
    <w:rsid w:val="0032120C"/>
    <w:rPr>
      <w:b/>
      <w:bCs/>
    </w:rPr>
  </w:style>
  <w:style w:type="character" w:customStyle="1" w:styleId="CommentSubjectChar">
    <w:name w:val="Comment Subject Char"/>
    <w:basedOn w:val="CommentTextChar"/>
    <w:link w:val="CommentSubject"/>
    <w:semiHidden/>
    <w:rsid w:val="0032120C"/>
    <w:rPr>
      <w:b/>
      <w:bCs/>
    </w:rPr>
  </w:style>
  <w:style w:type="paragraph" w:styleId="Revision">
    <w:name w:val="Revision"/>
    <w:hidden/>
    <w:uiPriority w:val="99"/>
    <w:semiHidden/>
    <w:rsid w:val="00E64EE7"/>
    <w:rPr>
      <w:sz w:val="24"/>
      <w:szCs w:val="24"/>
    </w:rPr>
  </w:style>
  <w:style w:type="paragraph" w:styleId="ListParagraph">
    <w:name w:val="List Paragraph"/>
    <w:basedOn w:val="Normal"/>
    <w:uiPriority w:val="34"/>
    <w:qFormat/>
    <w:rsid w:val="008A339A"/>
    <w:pPr>
      <w:ind w:left="720"/>
      <w:contextualSpacing/>
    </w:pPr>
  </w:style>
  <w:style w:type="character" w:styleId="Hyperlink">
    <w:name w:val="Hyperlink"/>
    <w:basedOn w:val="DefaultParagraphFont"/>
    <w:unhideWhenUsed/>
    <w:rsid w:val="009173A2"/>
    <w:rPr>
      <w:color w:val="0000FF" w:themeColor="hyperlink"/>
      <w:u w:val="single"/>
    </w:rPr>
  </w:style>
  <w:style w:type="character" w:customStyle="1" w:styleId="UnresolvedMention1">
    <w:name w:val="Unresolved Mention1"/>
    <w:basedOn w:val="DefaultParagraphFont"/>
    <w:uiPriority w:val="99"/>
    <w:semiHidden/>
    <w:unhideWhenUsed/>
    <w:rsid w:val="00917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5506</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BA - SB00467 (Committee Report (Substituted))</vt:lpstr>
    </vt:vector>
  </TitlesOfParts>
  <Company>State of Texas</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31114</dc:subject>
  <dc:creator>State of Texas</dc:creator>
  <dc:description>SB 467 by Paxton-(H)Ways &amp; Means (Substitute Document Number: 89R 29156)</dc:description>
  <cp:lastModifiedBy>Damian Duarte</cp:lastModifiedBy>
  <cp:revision>2</cp:revision>
  <cp:lastPrinted>2003-11-26T17:21:00Z</cp:lastPrinted>
  <dcterms:created xsi:type="dcterms:W3CDTF">2025-05-19T21:54:00Z</dcterms:created>
  <dcterms:modified xsi:type="dcterms:W3CDTF">2025-05-19T21:54:00Z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25.136.1260</vt:lpwstr>
  </property>
</Properties>
</file>