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F20B5" w:rsidRDefault="002F20B5"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90FBCD7CF0924C77B9024335DD3B614F"/>
          </w:placeholder>
        </w:sdtPr>
        <w:sdtContent>
          <w:r w:rsidRPr="005C2A78">
            <w:rPr>
              <w:rFonts w:cs="Times New Roman"/>
              <w:b/>
              <w:szCs w:val="24"/>
              <w:u w:val="single"/>
            </w:rPr>
            <w:t>BILL ANALYSIS</w:t>
          </w:r>
        </w:sdtContent>
      </w:sdt>
    </w:p>
    <w:p w:rsidR="002F20B5" w:rsidRPr="00585C31" w:rsidRDefault="002F20B5" w:rsidP="000F1DF9">
      <w:pPr>
        <w:spacing w:after="0" w:line="240" w:lineRule="auto"/>
        <w:rPr>
          <w:rFonts w:cs="Times New Roman"/>
          <w:szCs w:val="24"/>
        </w:rPr>
      </w:pPr>
    </w:p>
    <w:p w:rsidR="002F20B5" w:rsidRPr="00585C31" w:rsidRDefault="002F20B5"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2F20B5" w:rsidTr="000F1DF9">
        <w:tc>
          <w:tcPr>
            <w:tcW w:w="2718" w:type="dxa"/>
          </w:tcPr>
          <w:p w:rsidR="002F20B5" w:rsidRPr="005C2A78" w:rsidRDefault="002F20B5" w:rsidP="006D756B">
            <w:pPr>
              <w:rPr>
                <w:rFonts w:cs="Times New Roman"/>
                <w:szCs w:val="24"/>
              </w:rPr>
            </w:pPr>
            <w:sdt>
              <w:sdtPr>
                <w:rPr>
                  <w:rFonts w:cs="Times New Roman"/>
                  <w:szCs w:val="24"/>
                </w:rPr>
                <w:alias w:val="Agency Title"/>
                <w:tag w:val="AgencyTitleContentControl"/>
                <w:id w:val="1920747753"/>
                <w:lock w:val="sdtContentLocked"/>
                <w:placeholder>
                  <w:docPart w:val="663B2282BF7A4E199F28DAB3358BB592"/>
                </w:placeholder>
              </w:sdtPr>
              <w:sdtEndPr>
                <w:rPr>
                  <w:rFonts w:cstheme="minorBidi"/>
                  <w:szCs w:val="22"/>
                </w:rPr>
              </w:sdtEndPr>
              <w:sdtContent>
                <w:r>
                  <w:rPr>
                    <w:rFonts w:cs="Times New Roman"/>
                    <w:szCs w:val="24"/>
                  </w:rPr>
                  <w:t>Senate Research Center</w:t>
                </w:r>
              </w:sdtContent>
            </w:sdt>
          </w:p>
        </w:tc>
        <w:tc>
          <w:tcPr>
            <w:tcW w:w="6858" w:type="dxa"/>
          </w:tcPr>
          <w:p w:rsidR="002F20B5" w:rsidRPr="00FF6471" w:rsidRDefault="002F20B5" w:rsidP="000F1DF9">
            <w:pPr>
              <w:jc w:val="right"/>
              <w:rPr>
                <w:rFonts w:cs="Times New Roman"/>
                <w:szCs w:val="24"/>
              </w:rPr>
            </w:pPr>
            <w:sdt>
              <w:sdtPr>
                <w:rPr>
                  <w:rFonts w:cs="Times New Roman"/>
                  <w:szCs w:val="24"/>
                </w:rPr>
                <w:alias w:val="Bill Number"/>
                <w:tag w:val="BillNumberOne"/>
                <w:id w:val="-410784069"/>
                <w:lock w:val="sdtContentLocked"/>
                <w:placeholder>
                  <w:docPart w:val="4DAFF2F583A942B088076A8E12345107"/>
                </w:placeholder>
              </w:sdtPr>
              <w:sdtContent>
                <w:r>
                  <w:rPr>
                    <w:rFonts w:cs="Times New Roman"/>
                    <w:szCs w:val="24"/>
                  </w:rPr>
                  <w:t>S.B. 481</w:t>
                </w:r>
              </w:sdtContent>
            </w:sdt>
          </w:p>
        </w:tc>
      </w:tr>
      <w:tr w:rsidR="002F20B5" w:rsidTr="000F1DF9">
        <w:sdt>
          <w:sdtPr>
            <w:rPr>
              <w:rFonts w:cs="Times New Roman"/>
              <w:szCs w:val="24"/>
            </w:rPr>
            <w:alias w:val="TLCNumber"/>
            <w:tag w:val="TLCNumber"/>
            <w:id w:val="-542600604"/>
            <w:lock w:val="sdtLocked"/>
            <w:placeholder>
              <w:docPart w:val="1C27E796DA7E48C3917D7A48C44B2D70"/>
            </w:placeholder>
          </w:sdtPr>
          <w:sdtContent>
            <w:tc>
              <w:tcPr>
                <w:tcW w:w="2718" w:type="dxa"/>
              </w:tcPr>
              <w:p w:rsidR="002F20B5" w:rsidRPr="000F1DF9" w:rsidRDefault="002F20B5" w:rsidP="00C65088">
                <w:pPr>
                  <w:rPr>
                    <w:rFonts w:cs="Times New Roman"/>
                    <w:szCs w:val="24"/>
                  </w:rPr>
                </w:pPr>
                <w:r>
                  <w:rPr>
                    <w:rFonts w:cs="Times New Roman"/>
                    <w:szCs w:val="24"/>
                  </w:rPr>
                  <w:t>89R3109 LRM-D</w:t>
                </w:r>
              </w:p>
            </w:tc>
          </w:sdtContent>
        </w:sdt>
        <w:tc>
          <w:tcPr>
            <w:tcW w:w="6858" w:type="dxa"/>
          </w:tcPr>
          <w:p w:rsidR="002F20B5" w:rsidRPr="005C2A78" w:rsidRDefault="002F20B5" w:rsidP="00073EDD">
            <w:pPr>
              <w:jc w:val="right"/>
              <w:rPr>
                <w:rFonts w:cs="Times New Roman"/>
                <w:szCs w:val="24"/>
              </w:rPr>
            </w:pPr>
            <w:sdt>
              <w:sdtPr>
                <w:rPr>
                  <w:rFonts w:cs="Times New Roman"/>
                  <w:szCs w:val="24"/>
                </w:rPr>
                <w:alias w:val="Author Label"/>
                <w:tag w:val="By"/>
                <w:id w:val="72399597"/>
                <w:lock w:val="sdtLocked"/>
                <w:placeholder>
                  <w:docPart w:val="D7914B7D24AB480B9B5730A6496FEEDD"/>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F6BD03EB8CB54FFBB79939B62D65DE92"/>
                </w:placeholder>
              </w:sdtPr>
              <w:sdtContent>
                <w:r>
                  <w:rPr>
                    <w:rFonts w:cs="Times New Roman"/>
                    <w:szCs w:val="24"/>
                  </w:rPr>
                  <w:t>Alvarado et al.</w:t>
                </w:r>
              </w:sdtContent>
            </w:sdt>
            <w:sdt>
              <w:sdtPr>
                <w:rPr>
                  <w:rFonts w:cs="Times New Roman"/>
                  <w:szCs w:val="24"/>
                </w:rPr>
                <w:alias w:val="Sponsor"/>
                <w:tag w:val="Sponsor"/>
                <w:id w:val="-2039656131"/>
                <w:lock w:val="sdtContentLocked"/>
                <w:placeholder>
                  <w:docPart w:val="A9FA201FAC304B93B32973249D6AEC63"/>
                </w:placeholder>
                <w:showingPlcHdr/>
              </w:sdtPr>
              <w:sdtContent/>
            </w:sdt>
            <w:sdt>
              <w:sdtPr>
                <w:rPr>
                  <w:rFonts w:cs="Times New Roman"/>
                  <w:szCs w:val="24"/>
                </w:rPr>
                <w:alias w:val="DualSponsor"/>
                <w:tag w:val="DualSponsor"/>
                <w:id w:val="1029379812"/>
                <w:lock w:val="sdtContentLocked"/>
                <w:placeholder>
                  <w:docPart w:val="F5F487BF72F04CF1AEEBE0477033FE98"/>
                </w:placeholder>
                <w:showingPlcHdr/>
              </w:sdtPr>
              <w:sdtContent/>
            </w:sdt>
          </w:p>
        </w:tc>
      </w:tr>
      <w:tr w:rsidR="002F20B5" w:rsidTr="000F1DF9">
        <w:tc>
          <w:tcPr>
            <w:tcW w:w="2718" w:type="dxa"/>
          </w:tcPr>
          <w:p w:rsidR="002F20B5" w:rsidRPr="00BC7495" w:rsidRDefault="002F20B5" w:rsidP="000F1DF9">
            <w:pPr>
              <w:rPr>
                <w:rFonts w:cs="Times New Roman"/>
                <w:szCs w:val="24"/>
              </w:rPr>
            </w:pPr>
          </w:p>
        </w:tc>
        <w:sdt>
          <w:sdtPr>
            <w:rPr>
              <w:rFonts w:cs="Times New Roman"/>
              <w:szCs w:val="24"/>
            </w:rPr>
            <w:alias w:val="Committee"/>
            <w:tag w:val="Committee"/>
            <w:id w:val="1914272295"/>
            <w:lock w:val="sdtContentLocked"/>
            <w:placeholder>
              <w:docPart w:val="203BF30C4382472E9F435E432F21310A"/>
            </w:placeholder>
          </w:sdtPr>
          <w:sdtContent>
            <w:tc>
              <w:tcPr>
                <w:tcW w:w="6858" w:type="dxa"/>
              </w:tcPr>
              <w:p w:rsidR="002F20B5" w:rsidRPr="00FF6471" w:rsidRDefault="002F20B5" w:rsidP="000F1DF9">
                <w:pPr>
                  <w:jc w:val="right"/>
                  <w:rPr>
                    <w:rFonts w:cs="Times New Roman"/>
                    <w:szCs w:val="24"/>
                  </w:rPr>
                </w:pPr>
                <w:r>
                  <w:rPr>
                    <w:rFonts w:cs="Times New Roman"/>
                    <w:szCs w:val="24"/>
                  </w:rPr>
                  <w:t>Health &amp; Human Services</w:t>
                </w:r>
              </w:p>
            </w:tc>
          </w:sdtContent>
        </w:sdt>
      </w:tr>
      <w:tr w:rsidR="002F20B5" w:rsidTr="000F1DF9">
        <w:tc>
          <w:tcPr>
            <w:tcW w:w="2718" w:type="dxa"/>
          </w:tcPr>
          <w:p w:rsidR="002F20B5" w:rsidRPr="00BC7495" w:rsidRDefault="002F20B5" w:rsidP="000F1DF9">
            <w:pPr>
              <w:rPr>
                <w:rFonts w:cs="Times New Roman"/>
                <w:szCs w:val="24"/>
              </w:rPr>
            </w:pPr>
          </w:p>
        </w:tc>
        <w:sdt>
          <w:sdtPr>
            <w:rPr>
              <w:rFonts w:cs="Times New Roman"/>
              <w:szCs w:val="24"/>
            </w:rPr>
            <w:alias w:val="Date"/>
            <w:tag w:val="DateContentControl"/>
            <w:id w:val="1178081906"/>
            <w:lock w:val="sdtLocked"/>
            <w:placeholder>
              <w:docPart w:val="184B991A28724C31A5CC1F173F173605"/>
            </w:placeholder>
            <w:date w:fullDate="2025-03-21T00:00:00Z">
              <w:dateFormat w:val="M/d/yyyy"/>
              <w:lid w:val="en-US"/>
              <w:storeMappedDataAs w:val="dateTime"/>
              <w:calendar w:val="gregorian"/>
            </w:date>
          </w:sdtPr>
          <w:sdtContent>
            <w:tc>
              <w:tcPr>
                <w:tcW w:w="6858" w:type="dxa"/>
              </w:tcPr>
              <w:p w:rsidR="002F20B5" w:rsidRPr="00FF6471" w:rsidRDefault="002F20B5" w:rsidP="000F1DF9">
                <w:pPr>
                  <w:jc w:val="right"/>
                  <w:rPr>
                    <w:rFonts w:cs="Times New Roman"/>
                    <w:szCs w:val="24"/>
                  </w:rPr>
                </w:pPr>
                <w:r>
                  <w:rPr>
                    <w:rFonts w:cs="Times New Roman"/>
                    <w:szCs w:val="24"/>
                  </w:rPr>
                  <w:t>3/21/2025</w:t>
                </w:r>
              </w:p>
            </w:tc>
          </w:sdtContent>
        </w:sdt>
      </w:tr>
      <w:tr w:rsidR="002F20B5" w:rsidTr="000F1DF9">
        <w:tc>
          <w:tcPr>
            <w:tcW w:w="2718" w:type="dxa"/>
          </w:tcPr>
          <w:p w:rsidR="002F20B5" w:rsidRPr="00BC7495" w:rsidRDefault="002F20B5" w:rsidP="000F1DF9">
            <w:pPr>
              <w:rPr>
                <w:rFonts w:cs="Times New Roman"/>
                <w:szCs w:val="24"/>
              </w:rPr>
            </w:pPr>
          </w:p>
        </w:tc>
        <w:sdt>
          <w:sdtPr>
            <w:rPr>
              <w:rFonts w:cs="Times New Roman"/>
              <w:szCs w:val="24"/>
            </w:rPr>
            <w:alias w:val="BA Version"/>
            <w:tag w:val="BAVersion"/>
            <w:id w:val="-1685590809"/>
            <w:lock w:val="sdtContentLocked"/>
            <w:placeholder>
              <w:docPart w:val="B2B138D2253049AAB809FF3A80D4A21E"/>
            </w:placeholder>
          </w:sdtPr>
          <w:sdtContent>
            <w:tc>
              <w:tcPr>
                <w:tcW w:w="6858" w:type="dxa"/>
              </w:tcPr>
              <w:p w:rsidR="002F20B5" w:rsidRPr="00FF6471" w:rsidRDefault="002F20B5" w:rsidP="000F1DF9">
                <w:pPr>
                  <w:jc w:val="right"/>
                  <w:rPr>
                    <w:rFonts w:cs="Times New Roman"/>
                    <w:szCs w:val="24"/>
                  </w:rPr>
                </w:pPr>
                <w:r>
                  <w:rPr>
                    <w:rFonts w:cs="Times New Roman"/>
                    <w:szCs w:val="24"/>
                  </w:rPr>
                  <w:t>As Filed</w:t>
                </w:r>
              </w:p>
            </w:tc>
          </w:sdtContent>
        </w:sdt>
      </w:tr>
    </w:tbl>
    <w:p w:rsidR="002F20B5" w:rsidRPr="00FF6471" w:rsidRDefault="002F20B5" w:rsidP="000F1DF9">
      <w:pPr>
        <w:spacing w:after="0" w:line="240" w:lineRule="auto"/>
        <w:rPr>
          <w:rFonts w:cs="Times New Roman"/>
          <w:szCs w:val="24"/>
        </w:rPr>
      </w:pPr>
    </w:p>
    <w:p w:rsidR="002F20B5" w:rsidRPr="00FF6471" w:rsidRDefault="002F20B5" w:rsidP="000F1DF9">
      <w:pPr>
        <w:spacing w:after="0" w:line="240" w:lineRule="auto"/>
        <w:rPr>
          <w:rFonts w:cs="Times New Roman"/>
          <w:szCs w:val="24"/>
        </w:rPr>
      </w:pPr>
    </w:p>
    <w:p w:rsidR="002F20B5" w:rsidRPr="00FF6471" w:rsidRDefault="002F20B5"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E568BD40D0384735B3829E756FDBC4C6"/>
        </w:placeholder>
      </w:sdtPr>
      <w:sdtContent>
        <w:p w:rsidR="002F20B5" w:rsidRDefault="002F20B5"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ED9C81BC9EEC462BAC5387D41BE82817"/>
        </w:placeholder>
      </w:sdtPr>
      <w:sdtContent>
        <w:p w:rsidR="002F20B5" w:rsidRDefault="002F20B5" w:rsidP="00E152D6">
          <w:pPr>
            <w:pStyle w:val="NormalWeb"/>
            <w:spacing w:before="0" w:beforeAutospacing="0" w:after="0" w:afterAutospacing="0"/>
            <w:jc w:val="both"/>
            <w:divId w:val="584803116"/>
            <w:rPr>
              <w:rFonts w:eastAsia="Times New Roman"/>
              <w:bCs/>
            </w:rPr>
          </w:pPr>
        </w:p>
        <w:p w:rsidR="002F20B5" w:rsidRPr="0057690A" w:rsidRDefault="002F20B5" w:rsidP="00E152D6">
          <w:pPr>
            <w:pStyle w:val="NormalWeb"/>
            <w:spacing w:before="0" w:beforeAutospacing="0" w:after="0" w:afterAutospacing="0"/>
            <w:jc w:val="both"/>
            <w:divId w:val="584803116"/>
            <w:rPr>
              <w:color w:val="000000"/>
            </w:rPr>
          </w:pPr>
          <w:r w:rsidRPr="0057690A">
            <w:rPr>
              <w:color w:val="000000"/>
            </w:rPr>
            <w:t>Texas has the second most nursing facilities (NFs) in the U.S. and ranks first in the number of serious deficiencies and federal fines. During Hurricane Beryl, many NFs and assisted living facilities (ALFs) in Texas were significantly impacted by power outages. These facilities struggled to maintain safe temperatures, leading to severe discomfort and health risks for the elderly. The outages raised concerns about emergency preparedness and highlighted gaps in Texas's regulatory requirements. Under current law, NFs must have backup power sources, while ALFs do not unless they serve 17 residents or more. However, even when backup power is available in NFs, it is only mandated for safety features, refrigeration and life-saving equipment</w:t>
          </w:r>
          <w:r>
            <w:rPr>
              <w:color w:val="000000"/>
            </w:rPr>
            <w:t>—</w:t>
          </w:r>
          <w:r w:rsidRPr="0057690A">
            <w:rPr>
              <w:color w:val="000000"/>
            </w:rPr>
            <w:t xml:space="preserve">neglecting air conditioning and heating systems. </w:t>
          </w:r>
        </w:p>
        <w:p w:rsidR="002F20B5" w:rsidRPr="0057690A" w:rsidRDefault="002F20B5" w:rsidP="00E152D6">
          <w:pPr>
            <w:pStyle w:val="NormalWeb"/>
            <w:spacing w:before="0" w:beforeAutospacing="0" w:after="0" w:afterAutospacing="0"/>
            <w:jc w:val="both"/>
            <w:divId w:val="584803116"/>
            <w:rPr>
              <w:color w:val="000000"/>
            </w:rPr>
          </w:pPr>
        </w:p>
        <w:p w:rsidR="002F20B5" w:rsidRPr="0057690A" w:rsidRDefault="002F20B5" w:rsidP="00E152D6">
          <w:pPr>
            <w:pStyle w:val="NormalWeb"/>
            <w:spacing w:before="0" w:beforeAutospacing="0" w:after="0" w:afterAutospacing="0"/>
            <w:jc w:val="both"/>
            <w:divId w:val="584803116"/>
            <w:rPr>
              <w:color w:val="000000"/>
            </w:rPr>
          </w:pPr>
          <w:r w:rsidRPr="0057690A">
            <w:rPr>
              <w:color w:val="000000"/>
            </w:rPr>
            <w:t>NFs and ALFs are required to have an emergency plan</w:t>
          </w:r>
          <w:r>
            <w:rPr>
              <w:color w:val="000000"/>
            </w:rPr>
            <w:t xml:space="preserve"> that</w:t>
          </w:r>
          <w:r w:rsidRPr="0057690A">
            <w:rPr>
              <w:color w:val="000000"/>
            </w:rPr>
            <w:t xml:space="preserve"> may be reviewed by the Health and Human Services Commission when a surveyor is onsite. However, these plans are not mandated to include provisions for temperature regulation. S.B. 481 seeks to address this issue by amending the Health and Safety Code to require facilities to maintain safe temperatures through backup power, ensuring the safety and well-being of those in their care. This legislation enjoys support from groups advocating for the wellbeing of Texas's senior citizens. Staff are working to address any outstanding concerns from other groups and are optimistic that the bill will not have opposition when it receives a hearing. </w:t>
          </w:r>
        </w:p>
        <w:p w:rsidR="002F20B5" w:rsidRPr="00D70925" w:rsidRDefault="002F20B5" w:rsidP="00E152D6">
          <w:pPr>
            <w:spacing w:after="0" w:line="240" w:lineRule="auto"/>
            <w:jc w:val="both"/>
            <w:rPr>
              <w:rFonts w:eastAsia="Times New Roman" w:cs="Times New Roman"/>
              <w:bCs/>
              <w:szCs w:val="24"/>
            </w:rPr>
          </w:pPr>
        </w:p>
      </w:sdtContent>
    </w:sdt>
    <w:p w:rsidR="002F20B5" w:rsidRDefault="002F20B5" w:rsidP="00E152D6">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481 </w:t>
      </w:r>
      <w:bookmarkStart w:id="1" w:name="AmendsCurrentLaw"/>
      <w:bookmarkEnd w:id="1"/>
      <w:r>
        <w:rPr>
          <w:rFonts w:cs="Times New Roman"/>
          <w:szCs w:val="24"/>
        </w:rPr>
        <w:t>amends current law relating to emergency preparedness and response plans for the continued care and safety of nursing facility and assisted living facility residents.</w:t>
      </w:r>
    </w:p>
    <w:p w:rsidR="002F20B5" w:rsidRPr="0057690A" w:rsidRDefault="002F20B5" w:rsidP="00E152D6">
      <w:pPr>
        <w:spacing w:after="0" w:line="240" w:lineRule="auto"/>
        <w:jc w:val="both"/>
        <w:rPr>
          <w:rFonts w:eastAsia="Times New Roman" w:cs="Times New Roman"/>
          <w:szCs w:val="24"/>
        </w:rPr>
      </w:pPr>
    </w:p>
    <w:p w:rsidR="002F20B5" w:rsidRPr="005C2A78" w:rsidRDefault="002F20B5"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6A0C4151F06443EAB2515F232211C07C"/>
          </w:placeholder>
        </w:sdtPr>
        <w:sdtContent>
          <w:r>
            <w:rPr>
              <w:rFonts w:eastAsia="Times New Roman" w:cs="Times New Roman"/>
              <w:b/>
              <w:szCs w:val="24"/>
              <w:u w:val="single"/>
            </w:rPr>
            <w:t>RULEMAKING AUTHORITY</w:t>
          </w:r>
        </w:sdtContent>
      </w:sdt>
    </w:p>
    <w:p w:rsidR="002F20B5" w:rsidRPr="006529C4" w:rsidRDefault="002F20B5" w:rsidP="00E152D6">
      <w:pPr>
        <w:spacing w:after="0" w:line="240" w:lineRule="auto"/>
        <w:jc w:val="both"/>
        <w:rPr>
          <w:rFonts w:cs="Times New Roman"/>
          <w:szCs w:val="24"/>
        </w:rPr>
      </w:pPr>
    </w:p>
    <w:p w:rsidR="002F20B5" w:rsidRPr="006529C4" w:rsidRDefault="002F20B5" w:rsidP="00E152D6">
      <w:pPr>
        <w:spacing w:after="0" w:line="240" w:lineRule="auto"/>
        <w:jc w:val="both"/>
        <w:rPr>
          <w:rFonts w:cs="Times New Roman"/>
          <w:szCs w:val="24"/>
        </w:rPr>
      </w:pPr>
      <w:r>
        <w:rPr>
          <w:rFonts w:cs="Times New Roman"/>
          <w:szCs w:val="24"/>
        </w:rPr>
        <w:t xml:space="preserve">Rulemaking authority is expressly granted to </w:t>
      </w:r>
      <w:r>
        <w:rPr>
          <w:rFonts w:eastAsia="Times New Roman" w:cs="Times New Roman"/>
          <w:szCs w:val="24"/>
        </w:rPr>
        <w:t>the executive commissioner of the Health and Human Services Commission</w:t>
      </w:r>
      <w:r>
        <w:rPr>
          <w:rFonts w:cs="Times New Roman"/>
          <w:szCs w:val="24"/>
        </w:rPr>
        <w:t xml:space="preserve"> in SECTION 1 (Section 242.053, Health and Safety Code) and SECTION 2 (Section 247.073, Health and Safety Code) of this bill.</w:t>
      </w:r>
    </w:p>
    <w:p w:rsidR="002F20B5" w:rsidRPr="006529C4" w:rsidRDefault="002F20B5" w:rsidP="00E152D6">
      <w:pPr>
        <w:spacing w:after="0" w:line="240" w:lineRule="auto"/>
        <w:jc w:val="both"/>
        <w:rPr>
          <w:rFonts w:cs="Times New Roman"/>
          <w:szCs w:val="24"/>
        </w:rPr>
      </w:pPr>
    </w:p>
    <w:p w:rsidR="002F20B5" w:rsidRPr="005C2A78" w:rsidRDefault="002F20B5"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3E9D5E7DC8074F64A1670F3090E1F615"/>
          </w:placeholder>
        </w:sdtPr>
        <w:sdtContent>
          <w:r>
            <w:rPr>
              <w:rFonts w:eastAsia="Times New Roman" w:cs="Times New Roman"/>
              <w:b/>
              <w:szCs w:val="24"/>
              <w:u w:val="single"/>
            </w:rPr>
            <w:t>SECTION BY SECTION ANALYSIS</w:t>
          </w:r>
        </w:sdtContent>
      </w:sdt>
    </w:p>
    <w:p w:rsidR="002F20B5" w:rsidRPr="005C2A78" w:rsidRDefault="002F20B5" w:rsidP="00E152D6">
      <w:pPr>
        <w:spacing w:after="0" w:line="240" w:lineRule="auto"/>
        <w:jc w:val="both"/>
        <w:rPr>
          <w:rFonts w:eastAsia="Times New Roman" w:cs="Times New Roman"/>
          <w:szCs w:val="24"/>
        </w:rPr>
      </w:pPr>
    </w:p>
    <w:p w:rsidR="002F20B5" w:rsidRDefault="002F20B5" w:rsidP="00E152D6">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Subchapter B, Chapter 242, Health and Safety Code, by adding Section 242.053, as follows:</w:t>
      </w:r>
    </w:p>
    <w:p w:rsidR="002F20B5" w:rsidRDefault="002F20B5" w:rsidP="00E152D6">
      <w:pPr>
        <w:spacing w:after="0" w:line="240" w:lineRule="auto"/>
        <w:jc w:val="both"/>
        <w:rPr>
          <w:rFonts w:eastAsia="Times New Roman" w:cs="Times New Roman"/>
          <w:szCs w:val="24"/>
        </w:rPr>
      </w:pPr>
    </w:p>
    <w:p w:rsidR="002F20B5" w:rsidRDefault="002F20B5" w:rsidP="00E152D6">
      <w:pPr>
        <w:spacing w:after="0" w:line="240" w:lineRule="auto"/>
        <w:ind w:left="720"/>
        <w:jc w:val="both"/>
        <w:rPr>
          <w:rFonts w:eastAsia="Times New Roman" w:cs="Times New Roman"/>
          <w:szCs w:val="24"/>
        </w:rPr>
      </w:pPr>
      <w:r>
        <w:rPr>
          <w:rFonts w:eastAsia="Times New Roman" w:cs="Times New Roman"/>
          <w:szCs w:val="24"/>
        </w:rPr>
        <w:t>Sec. 242.053. EMERGENCY PREPAREDNESS AND RESPONSE PLAN. (a) Defines "emergency."</w:t>
      </w:r>
    </w:p>
    <w:p w:rsidR="002F20B5" w:rsidRDefault="002F20B5" w:rsidP="00E152D6">
      <w:pPr>
        <w:spacing w:after="0" w:line="240" w:lineRule="auto"/>
        <w:ind w:left="720"/>
        <w:jc w:val="both"/>
        <w:rPr>
          <w:rFonts w:eastAsia="Times New Roman" w:cs="Times New Roman"/>
          <w:szCs w:val="24"/>
        </w:rPr>
      </w:pPr>
    </w:p>
    <w:p w:rsidR="002F20B5" w:rsidRDefault="002F20B5" w:rsidP="00E152D6">
      <w:pPr>
        <w:spacing w:after="0" w:line="240" w:lineRule="auto"/>
        <w:ind w:left="1440"/>
        <w:jc w:val="both"/>
        <w:rPr>
          <w:rFonts w:eastAsia="Times New Roman" w:cs="Times New Roman"/>
          <w:szCs w:val="24"/>
        </w:rPr>
      </w:pPr>
      <w:r>
        <w:rPr>
          <w:rFonts w:eastAsia="Times New Roman" w:cs="Times New Roman"/>
          <w:szCs w:val="24"/>
        </w:rPr>
        <w:t>(b) Requires each nursing facility to:</w:t>
      </w:r>
    </w:p>
    <w:p w:rsidR="002F20B5" w:rsidRDefault="002F20B5" w:rsidP="00E152D6">
      <w:pPr>
        <w:spacing w:after="0" w:line="240" w:lineRule="auto"/>
        <w:ind w:left="1440"/>
        <w:jc w:val="both"/>
        <w:rPr>
          <w:rFonts w:eastAsia="Times New Roman" w:cs="Times New Roman"/>
          <w:szCs w:val="24"/>
        </w:rPr>
      </w:pPr>
    </w:p>
    <w:p w:rsidR="002F20B5" w:rsidRDefault="002F20B5" w:rsidP="00E152D6">
      <w:pPr>
        <w:spacing w:after="0" w:line="240" w:lineRule="auto"/>
        <w:ind w:left="2160"/>
        <w:jc w:val="both"/>
        <w:rPr>
          <w:rFonts w:eastAsia="Times New Roman" w:cs="Times New Roman"/>
          <w:szCs w:val="24"/>
        </w:rPr>
      </w:pPr>
      <w:r>
        <w:rPr>
          <w:rFonts w:eastAsia="Times New Roman" w:cs="Times New Roman"/>
          <w:szCs w:val="24"/>
        </w:rPr>
        <w:t>(1) adopt and implement an emergency preparedness and response plan for the continued care and safety of residents and the continuity of the facility's essential building systems during an emergency; and</w:t>
      </w:r>
    </w:p>
    <w:p w:rsidR="002F20B5" w:rsidRDefault="002F20B5" w:rsidP="00E152D6">
      <w:pPr>
        <w:spacing w:after="0" w:line="240" w:lineRule="auto"/>
        <w:ind w:left="2160"/>
        <w:jc w:val="both"/>
        <w:rPr>
          <w:rFonts w:eastAsia="Times New Roman" w:cs="Times New Roman"/>
          <w:szCs w:val="24"/>
        </w:rPr>
      </w:pPr>
    </w:p>
    <w:p w:rsidR="002F20B5" w:rsidRDefault="002F20B5" w:rsidP="00E152D6">
      <w:pPr>
        <w:spacing w:after="0" w:line="240" w:lineRule="auto"/>
        <w:ind w:left="2160"/>
        <w:jc w:val="both"/>
      </w:pPr>
      <w:r>
        <w:rPr>
          <w:rFonts w:eastAsia="Times New Roman" w:cs="Times New Roman"/>
          <w:szCs w:val="24"/>
        </w:rPr>
        <w:t xml:space="preserve">(2) </w:t>
      </w:r>
      <w:r>
        <w:t xml:space="preserve">prepare and annually update as necessary a written policy, including procedures, to ensure the facility activates, operates, and maintains generators or alternate power sources and fuel resources required under this </w:t>
      </w:r>
      <w:r w:rsidRPr="0057690A">
        <w:t>section</w:t>
      </w:r>
      <w:r>
        <w:t>.</w:t>
      </w:r>
    </w:p>
    <w:p w:rsidR="002F20B5" w:rsidRDefault="002F20B5" w:rsidP="00E152D6">
      <w:pPr>
        <w:spacing w:after="0" w:line="240" w:lineRule="auto"/>
        <w:ind w:left="2160"/>
        <w:jc w:val="both"/>
      </w:pPr>
    </w:p>
    <w:p w:rsidR="002F20B5" w:rsidRDefault="002F20B5" w:rsidP="00E152D6">
      <w:pPr>
        <w:spacing w:after="0" w:line="240" w:lineRule="auto"/>
        <w:ind w:left="1440"/>
        <w:jc w:val="both"/>
      </w:pPr>
      <w:r>
        <w:t xml:space="preserve">(c) Requires that an emergency preparedness and response plan adopted in accordance with this section: </w:t>
      </w:r>
    </w:p>
    <w:p w:rsidR="002F20B5" w:rsidRDefault="002F20B5" w:rsidP="00E152D6">
      <w:pPr>
        <w:spacing w:after="0" w:line="240" w:lineRule="auto"/>
        <w:ind w:left="1440"/>
        <w:jc w:val="both"/>
      </w:pPr>
    </w:p>
    <w:p w:rsidR="002F20B5" w:rsidRDefault="002F20B5" w:rsidP="00E152D6">
      <w:pPr>
        <w:spacing w:after="0" w:line="240" w:lineRule="auto"/>
        <w:ind w:left="2160"/>
        <w:jc w:val="both"/>
      </w:pPr>
      <w:r>
        <w:t>(1) require a nursing facility to install and maintain on the facility's premises:</w:t>
      </w:r>
    </w:p>
    <w:p w:rsidR="002F20B5" w:rsidRDefault="002F20B5" w:rsidP="00E152D6">
      <w:pPr>
        <w:spacing w:after="0" w:line="240" w:lineRule="auto"/>
        <w:ind w:left="2160"/>
        <w:jc w:val="both"/>
      </w:pPr>
    </w:p>
    <w:p w:rsidR="002F20B5" w:rsidRDefault="002F20B5" w:rsidP="00E152D6">
      <w:pPr>
        <w:spacing w:after="0" w:line="240" w:lineRule="auto"/>
        <w:ind w:left="2880"/>
        <w:jc w:val="both"/>
      </w:pPr>
      <w:r>
        <w:t>(A) an emergency generator or alternate power source;</w:t>
      </w:r>
    </w:p>
    <w:p w:rsidR="002F20B5" w:rsidRDefault="002F20B5" w:rsidP="00E152D6">
      <w:pPr>
        <w:spacing w:after="0" w:line="240" w:lineRule="auto"/>
        <w:ind w:left="2880"/>
        <w:jc w:val="both"/>
      </w:pPr>
    </w:p>
    <w:p w:rsidR="002F20B5" w:rsidRDefault="002F20B5" w:rsidP="00E152D6">
      <w:pPr>
        <w:spacing w:after="0" w:line="240" w:lineRule="auto"/>
        <w:ind w:left="2880"/>
        <w:jc w:val="both"/>
      </w:pPr>
      <w:r>
        <w:t xml:space="preserve">(B) a fuel supply with enough capacity to power the emergency generator or alternative power source for not less than 96 hours; and </w:t>
      </w:r>
    </w:p>
    <w:p w:rsidR="002F20B5" w:rsidRDefault="002F20B5" w:rsidP="00E152D6">
      <w:pPr>
        <w:spacing w:after="0" w:line="240" w:lineRule="auto"/>
        <w:ind w:left="2880"/>
        <w:jc w:val="both"/>
      </w:pPr>
    </w:p>
    <w:p w:rsidR="002F20B5" w:rsidRDefault="002F20B5" w:rsidP="00E152D6">
      <w:pPr>
        <w:spacing w:after="0" w:line="240" w:lineRule="auto"/>
        <w:ind w:left="2880"/>
        <w:jc w:val="both"/>
      </w:pPr>
      <w:r>
        <w:t xml:space="preserve">(C) a carbon monoxide alarm or detector that complies with rules  </w:t>
      </w:r>
      <w:r>
        <w:rPr>
          <w:rFonts w:eastAsia="Times New Roman" w:cs="Times New Roman"/>
          <w:szCs w:val="24"/>
        </w:rPr>
        <w:t>the executive commissioner of the Health and Human Services Commission</w:t>
      </w:r>
      <w:r>
        <w:t xml:space="preserve"> (HHSC) adopts; and</w:t>
      </w:r>
    </w:p>
    <w:p w:rsidR="002F20B5" w:rsidRDefault="002F20B5" w:rsidP="00E152D6">
      <w:pPr>
        <w:spacing w:after="0" w:line="240" w:lineRule="auto"/>
        <w:ind w:left="2880"/>
        <w:jc w:val="both"/>
      </w:pPr>
    </w:p>
    <w:p w:rsidR="002F20B5" w:rsidRDefault="002F20B5" w:rsidP="00E152D6">
      <w:pPr>
        <w:spacing w:after="0" w:line="240" w:lineRule="auto"/>
        <w:ind w:left="2160"/>
        <w:jc w:val="both"/>
      </w:pPr>
      <w:r>
        <w:t>(2) include strategies to:</w:t>
      </w:r>
    </w:p>
    <w:p w:rsidR="002F20B5" w:rsidRDefault="002F20B5" w:rsidP="00E152D6">
      <w:pPr>
        <w:spacing w:after="0" w:line="240" w:lineRule="auto"/>
        <w:ind w:left="2160"/>
        <w:jc w:val="both"/>
      </w:pPr>
    </w:p>
    <w:p w:rsidR="002F20B5" w:rsidRDefault="002F20B5" w:rsidP="00E152D6">
      <w:pPr>
        <w:spacing w:after="0" w:line="240" w:lineRule="auto"/>
        <w:ind w:left="2880"/>
        <w:jc w:val="both"/>
      </w:pPr>
      <w:r>
        <w:t>(A) prevent resident complications from heat exposure during a power outage, including requiring the facility to maintain a temperature between 71 degrees and 81 degrees Fahrenheit;</w:t>
      </w:r>
    </w:p>
    <w:p w:rsidR="002F20B5" w:rsidRDefault="002F20B5" w:rsidP="00E152D6">
      <w:pPr>
        <w:spacing w:after="0" w:line="240" w:lineRule="auto"/>
        <w:ind w:left="2880"/>
        <w:jc w:val="both"/>
      </w:pPr>
    </w:p>
    <w:p w:rsidR="002F20B5" w:rsidRDefault="002F20B5" w:rsidP="00E152D6">
      <w:pPr>
        <w:spacing w:after="0" w:line="240" w:lineRule="auto"/>
        <w:ind w:left="2880"/>
        <w:jc w:val="both"/>
      </w:pPr>
      <w:r>
        <w:t>(B) safely transport residents to an appropriate facility when the facility's management knows the facility is unable to maintain the facility's temperature within a range safe for residents; and</w:t>
      </w:r>
    </w:p>
    <w:p w:rsidR="002F20B5" w:rsidRDefault="002F20B5" w:rsidP="00E152D6">
      <w:pPr>
        <w:spacing w:after="0" w:line="240" w:lineRule="auto"/>
        <w:ind w:left="2880"/>
        <w:jc w:val="both"/>
      </w:pPr>
    </w:p>
    <w:p w:rsidR="002F20B5" w:rsidRDefault="002F20B5" w:rsidP="00E152D6">
      <w:pPr>
        <w:spacing w:after="0" w:line="240" w:lineRule="auto"/>
        <w:ind w:left="2880"/>
        <w:jc w:val="both"/>
      </w:pPr>
      <w:r>
        <w:t>(C) respond to inquiries from residents' family members during an emergency.</w:t>
      </w:r>
    </w:p>
    <w:p w:rsidR="002F20B5" w:rsidRDefault="002F20B5" w:rsidP="00E152D6">
      <w:pPr>
        <w:spacing w:after="0" w:line="240" w:lineRule="auto"/>
        <w:ind w:left="2880"/>
        <w:jc w:val="both"/>
      </w:pPr>
    </w:p>
    <w:p w:rsidR="002F20B5" w:rsidRDefault="002F20B5" w:rsidP="00E152D6">
      <w:pPr>
        <w:spacing w:after="0" w:line="240" w:lineRule="auto"/>
        <w:ind w:left="1440"/>
        <w:jc w:val="both"/>
      </w:pPr>
      <w:r>
        <w:t>(d) Requires each nursing facility to provide to facility personnel the written policy prepared in accordance with Subsection (b)(2) and relevant training on the facility's emergency preparedness and response plan adopted under this section.</w:t>
      </w:r>
    </w:p>
    <w:p w:rsidR="002F20B5" w:rsidRDefault="002F20B5" w:rsidP="00E152D6">
      <w:pPr>
        <w:spacing w:after="0" w:line="240" w:lineRule="auto"/>
        <w:ind w:left="1440"/>
        <w:jc w:val="both"/>
      </w:pPr>
    </w:p>
    <w:p w:rsidR="002F20B5" w:rsidRDefault="002F20B5" w:rsidP="00E152D6">
      <w:pPr>
        <w:spacing w:after="0" w:line="240" w:lineRule="auto"/>
        <w:ind w:left="1440"/>
        <w:jc w:val="both"/>
      </w:pPr>
      <w:r>
        <w:t xml:space="preserve">(e) Requires a nursing facility, in </w:t>
      </w:r>
      <w:r w:rsidRPr="00FD44DF">
        <w:t>preparing for or responding to an emergency</w:t>
      </w:r>
      <w:r>
        <w:t>, to follow each procedure or requirement outlined in:</w:t>
      </w:r>
    </w:p>
    <w:p w:rsidR="002F20B5" w:rsidRDefault="002F20B5" w:rsidP="00E152D6">
      <w:pPr>
        <w:spacing w:after="0" w:line="240" w:lineRule="auto"/>
        <w:ind w:left="1440"/>
        <w:jc w:val="both"/>
      </w:pPr>
    </w:p>
    <w:p w:rsidR="002F20B5" w:rsidRDefault="002F20B5" w:rsidP="00E152D6">
      <w:pPr>
        <w:spacing w:after="0" w:line="240" w:lineRule="auto"/>
        <w:ind w:left="2160"/>
        <w:jc w:val="both"/>
      </w:pPr>
      <w:r>
        <w:t>(1) the emergency preparedness and response plan the facility adopts under this section, including contingency procedures or requirements to meet a resident's individual medical needs; and</w:t>
      </w:r>
    </w:p>
    <w:p w:rsidR="002F20B5" w:rsidRDefault="002F20B5" w:rsidP="00E152D6">
      <w:pPr>
        <w:spacing w:after="0" w:line="240" w:lineRule="auto"/>
        <w:ind w:left="2160"/>
        <w:jc w:val="both"/>
      </w:pPr>
    </w:p>
    <w:p w:rsidR="002F20B5" w:rsidRDefault="002F20B5" w:rsidP="00E152D6">
      <w:pPr>
        <w:spacing w:after="0" w:line="240" w:lineRule="auto"/>
        <w:ind w:left="2160"/>
        <w:jc w:val="both"/>
      </w:pPr>
      <w:r>
        <w:t>(2) the written policy prepared in accordance with Subsection (b)(2).</w:t>
      </w:r>
    </w:p>
    <w:p w:rsidR="002F20B5" w:rsidRDefault="002F20B5" w:rsidP="00E152D6">
      <w:pPr>
        <w:spacing w:after="0" w:line="240" w:lineRule="auto"/>
        <w:ind w:left="2160"/>
        <w:jc w:val="both"/>
      </w:pPr>
    </w:p>
    <w:p w:rsidR="002F20B5" w:rsidRDefault="002F20B5" w:rsidP="00E152D6">
      <w:pPr>
        <w:spacing w:after="0" w:line="240" w:lineRule="auto"/>
        <w:ind w:left="1440"/>
        <w:jc w:val="both"/>
      </w:pPr>
      <w:r>
        <w:t xml:space="preserve">(f) Requires HHSC to review and approve each nursing facility's emergency preparedness and response plan required by this section and each update to the plan. Authorizes HHSC to revoke a facility's license issued under </w:t>
      </w:r>
      <w:r w:rsidRPr="0057690A">
        <w:t>Chapter</w:t>
      </w:r>
      <w:r>
        <w:t xml:space="preserve"> 242 (Convalescent and Nursing Facilities and Related Institutions) for failure to comply with this section or rules adopted under this section.</w:t>
      </w:r>
    </w:p>
    <w:p w:rsidR="002F20B5" w:rsidRDefault="002F20B5" w:rsidP="00E152D6">
      <w:pPr>
        <w:spacing w:after="0" w:line="240" w:lineRule="auto"/>
        <w:ind w:left="720"/>
        <w:jc w:val="both"/>
      </w:pPr>
    </w:p>
    <w:p w:rsidR="002F20B5" w:rsidRDefault="002F20B5" w:rsidP="00E152D6">
      <w:pPr>
        <w:spacing w:after="0" w:line="240" w:lineRule="auto"/>
        <w:ind w:left="1440"/>
        <w:jc w:val="both"/>
      </w:pPr>
      <w:r>
        <w:t>(g) Requires the executive commissioner of HHSC adopt the rules necessary to administer and enforce this section.</w:t>
      </w:r>
    </w:p>
    <w:p w:rsidR="002F20B5" w:rsidRPr="005C2A78" w:rsidRDefault="002F20B5" w:rsidP="00E152D6">
      <w:pPr>
        <w:spacing w:after="0" w:line="240" w:lineRule="auto"/>
        <w:jc w:val="both"/>
        <w:rPr>
          <w:rFonts w:eastAsia="Times New Roman" w:cs="Times New Roman"/>
          <w:szCs w:val="24"/>
        </w:rPr>
      </w:pPr>
    </w:p>
    <w:p w:rsidR="002F20B5" w:rsidRDefault="002F20B5" w:rsidP="00E152D6">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Subchapter D, Chapter 247, Health and Safety Code, by adding Section 247.073, as follows:</w:t>
      </w:r>
    </w:p>
    <w:p w:rsidR="002F20B5" w:rsidRDefault="002F20B5" w:rsidP="00E152D6">
      <w:pPr>
        <w:spacing w:after="0" w:line="240" w:lineRule="auto"/>
        <w:jc w:val="both"/>
        <w:rPr>
          <w:rFonts w:eastAsia="Times New Roman" w:cs="Times New Roman"/>
          <w:szCs w:val="24"/>
        </w:rPr>
      </w:pPr>
    </w:p>
    <w:p w:rsidR="002F20B5" w:rsidRDefault="002F20B5" w:rsidP="00E152D6">
      <w:pPr>
        <w:spacing w:after="0" w:line="240" w:lineRule="auto"/>
        <w:ind w:left="720"/>
        <w:jc w:val="both"/>
        <w:rPr>
          <w:rFonts w:eastAsia="Times New Roman" w:cs="Times New Roman"/>
          <w:szCs w:val="24"/>
        </w:rPr>
      </w:pPr>
      <w:r>
        <w:rPr>
          <w:rFonts w:eastAsia="Times New Roman" w:cs="Times New Roman"/>
          <w:szCs w:val="24"/>
        </w:rPr>
        <w:t>Sec. 247.073. EMERGENCY PREPAREDNESS AND RESPONSE PLAN. (a) Defines "emergency."</w:t>
      </w:r>
    </w:p>
    <w:p w:rsidR="002F20B5" w:rsidRDefault="002F20B5" w:rsidP="00E152D6">
      <w:pPr>
        <w:spacing w:after="0" w:line="240" w:lineRule="auto"/>
        <w:ind w:left="720"/>
        <w:jc w:val="both"/>
        <w:rPr>
          <w:rFonts w:eastAsia="Times New Roman" w:cs="Times New Roman"/>
          <w:szCs w:val="24"/>
        </w:rPr>
      </w:pPr>
    </w:p>
    <w:p w:rsidR="002F20B5" w:rsidRDefault="002F20B5" w:rsidP="00E152D6">
      <w:pPr>
        <w:spacing w:after="0" w:line="240" w:lineRule="auto"/>
        <w:ind w:left="1440"/>
        <w:jc w:val="both"/>
        <w:rPr>
          <w:rFonts w:eastAsia="Times New Roman" w:cs="Times New Roman"/>
          <w:szCs w:val="24"/>
        </w:rPr>
      </w:pPr>
      <w:r>
        <w:rPr>
          <w:rFonts w:eastAsia="Times New Roman" w:cs="Times New Roman"/>
          <w:szCs w:val="24"/>
        </w:rPr>
        <w:t>(b) Requires each assisted living facility to:</w:t>
      </w:r>
    </w:p>
    <w:p w:rsidR="002F20B5" w:rsidRDefault="002F20B5" w:rsidP="00E152D6">
      <w:pPr>
        <w:spacing w:after="0" w:line="240" w:lineRule="auto"/>
        <w:ind w:left="1440"/>
        <w:jc w:val="both"/>
        <w:rPr>
          <w:rFonts w:eastAsia="Times New Roman" w:cs="Times New Roman"/>
          <w:szCs w:val="24"/>
        </w:rPr>
      </w:pPr>
    </w:p>
    <w:p w:rsidR="002F20B5" w:rsidRDefault="002F20B5" w:rsidP="00E152D6">
      <w:pPr>
        <w:spacing w:after="0" w:line="240" w:lineRule="auto"/>
        <w:ind w:left="2160"/>
        <w:jc w:val="both"/>
        <w:rPr>
          <w:rFonts w:eastAsia="Times New Roman" w:cs="Times New Roman"/>
          <w:szCs w:val="24"/>
        </w:rPr>
      </w:pPr>
      <w:r>
        <w:rPr>
          <w:rFonts w:eastAsia="Times New Roman" w:cs="Times New Roman"/>
          <w:szCs w:val="24"/>
        </w:rPr>
        <w:t>(1)</w:t>
      </w:r>
      <w:r w:rsidRPr="0057690A">
        <w:t xml:space="preserve"> </w:t>
      </w:r>
      <w:r>
        <w:t>adopt and implement an emergency preparedness and response plan for the continued care and safety of residents and the continuity of the facility's essential building systems during an emergency; and</w:t>
      </w:r>
    </w:p>
    <w:p w:rsidR="002F20B5" w:rsidRDefault="002F20B5" w:rsidP="00E152D6">
      <w:pPr>
        <w:spacing w:after="0" w:line="240" w:lineRule="auto"/>
        <w:ind w:left="2160"/>
        <w:jc w:val="both"/>
        <w:rPr>
          <w:rFonts w:eastAsia="Times New Roman" w:cs="Times New Roman"/>
          <w:szCs w:val="24"/>
        </w:rPr>
      </w:pPr>
    </w:p>
    <w:p w:rsidR="002F20B5" w:rsidRDefault="002F20B5" w:rsidP="00E152D6">
      <w:pPr>
        <w:spacing w:after="0" w:line="240" w:lineRule="auto"/>
        <w:ind w:left="2160"/>
        <w:jc w:val="both"/>
        <w:rPr>
          <w:rFonts w:eastAsia="Times New Roman" w:cs="Times New Roman"/>
          <w:szCs w:val="24"/>
        </w:rPr>
      </w:pPr>
      <w:r>
        <w:rPr>
          <w:rFonts w:eastAsia="Times New Roman" w:cs="Times New Roman"/>
          <w:szCs w:val="24"/>
        </w:rPr>
        <w:t>(2)</w:t>
      </w:r>
      <w:r w:rsidRPr="0057690A">
        <w:t xml:space="preserve"> </w:t>
      </w:r>
      <w:r>
        <w:t>prepare and annually update as necessary a written policy, including procedures, to ensure the facility activates, operates, and maintains generators or alternate power sources and fuel resources required under this section</w:t>
      </w:r>
      <w:r>
        <w:rPr>
          <w:rFonts w:eastAsia="Times New Roman" w:cs="Times New Roman"/>
          <w:szCs w:val="24"/>
        </w:rPr>
        <w:t xml:space="preserve">. </w:t>
      </w:r>
    </w:p>
    <w:p w:rsidR="002F20B5" w:rsidRDefault="002F20B5" w:rsidP="00E152D6">
      <w:pPr>
        <w:spacing w:after="0" w:line="240" w:lineRule="auto"/>
        <w:ind w:left="1440"/>
        <w:jc w:val="both"/>
        <w:rPr>
          <w:rFonts w:eastAsia="Times New Roman" w:cs="Times New Roman"/>
          <w:szCs w:val="24"/>
        </w:rPr>
      </w:pPr>
    </w:p>
    <w:p w:rsidR="002F20B5" w:rsidRDefault="002F20B5" w:rsidP="00E152D6">
      <w:pPr>
        <w:spacing w:after="0" w:line="240" w:lineRule="auto"/>
        <w:ind w:left="1440"/>
        <w:jc w:val="both"/>
      </w:pPr>
      <w:r>
        <w:rPr>
          <w:rFonts w:eastAsia="Times New Roman" w:cs="Times New Roman"/>
          <w:szCs w:val="24"/>
        </w:rPr>
        <w:t>(c)</w:t>
      </w:r>
      <w:r>
        <w:t xml:space="preserve"> Requires that an emergency preparedness and response plan adopted in accordance with this section: </w:t>
      </w:r>
    </w:p>
    <w:p w:rsidR="002F20B5" w:rsidRDefault="002F20B5" w:rsidP="00E152D6">
      <w:pPr>
        <w:spacing w:after="0" w:line="240" w:lineRule="auto"/>
        <w:ind w:left="1440"/>
        <w:jc w:val="both"/>
      </w:pPr>
    </w:p>
    <w:p w:rsidR="002F20B5" w:rsidRDefault="002F20B5" w:rsidP="00E152D6">
      <w:pPr>
        <w:spacing w:after="0" w:line="240" w:lineRule="auto"/>
        <w:ind w:left="2160"/>
        <w:jc w:val="both"/>
      </w:pPr>
      <w:r>
        <w:t>(1) require an assisted living facility to install and maintain on the facility's premises:</w:t>
      </w:r>
    </w:p>
    <w:p w:rsidR="002F20B5" w:rsidRDefault="002F20B5" w:rsidP="00E152D6">
      <w:pPr>
        <w:spacing w:after="0" w:line="240" w:lineRule="auto"/>
        <w:ind w:left="2160"/>
        <w:jc w:val="both"/>
      </w:pPr>
    </w:p>
    <w:p w:rsidR="002F20B5" w:rsidRDefault="002F20B5" w:rsidP="00E152D6">
      <w:pPr>
        <w:spacing w:after="0" w:line="240" w:lineRule="auto"/>
        <w:ind w:left="2880"/>
        <w:jc w:val="both"/>
      </w:pPr>
      <w:r>
        <w:t>(A) an emergency generator or alternate power source;</w:t>
      </w:r>
    </w:p>
    <w:p w:rsidR="002F20B5" w:rsidRDefault="002F20B5" w:rsidP="00E152D6">
      <w:pPr>
        <w:spacing w:after="0" w:line="240" w:lineRule="auto"/>
        <w:ind w:left="2880"/>
        <w:jc w:val="both"/>
      </w:pPr>
    </w:p>
    <w:p w:rsidR="002F20B5" w:rsidRDefault="002F20B5" w:rsidP="00E152D6">
      <w:pPr>
        <w:spacing w:after="0" w:line="240" w:lineRule="auto"/>
        <w:ind w:left="2880"/>
        <w:jc w:val="both"/>
      </w:pPr>
      <w:r>
        <w:t xml:space="preserve">(B) a fuel supply with enough capacity to power the emergency generator or alternative power source for not less than 96 hours; and </w:t>
      </w:r>
    </w:p>
    <w:p w:rsidR="002F20B5" w:rsidRDefault="002F20B5" w:rsidP="00E152D6">
      <w:pPr>
        <w:spacing w:after="0" w:line="240" w:lineRule="auto"/>
        <w:ind w:left="2880"/>
        <w:jc w:val="both"/>
      </w:pPr>
    </w:p>
    <w:p w:rsidR="002F20B5" w:rsidRDefault="002F20B5" w:rsidP="00E152D6">
      <w:pPr>
        <w:spacing w:after="0" w:line="240" w:lineRule="auto"/>
        <w:ind w:left="2880"/>
        <w:jc w:val="both"/>
      </w:pPr>
      <w:r>
        <w:t xml:space="preserve">(C) a carbon monoxide alarm or detector that complies with rules  </w:t>
      </w:r>
      <w:r>
        <w:rPr>
          <w:rFonts w:eastAsia="Times New Roman" w:cs="Times New Roman"/>
          <w:szCs w:val="24"/>
        </w:rPr>
        <w:t xml:space="preserve">the executive commissioner of </w:t>
      </w:r>
      <w:r>
        <w:t>HHSC adopts; and</w:t>
      </w:r>
    </w:p>
    <w:p w:rsidR="002F20B5" w:rsidRDefault="002F20B5" w:rsidP="00E152D6">
      <w:pPr>
        <w:spacing w:after="0" w:line="240" w:lineRule="auto"/>
        <w:ind w:left="2880"/>
        <w:jc w:val="both"/>
      </w:pPr>
    </w:p>
    <w:p w:rsidR="002F20B5" w:rsidRDefault="002F20B5" w:rsidP="00E152D6">
      <w:pPr>
        <w:spacing w:after="0" w:line="240" w:lineRule="auto"/>
        <w:ind w:left="2160"/>
        <w:jc w:val="both"/>
      </w:pPr>
      <w:r>
        <w:t>(2) include strategies to:</w:t>
      </w:r>
    </w:p>
    <w:p w:rsidR="002F20B5" w:rsidRDefault="002F20B5" w:rsidP="00E152D6">
      <w:pPr>
        <w:spacing w:after="0" w:line="240" w:lineRule="auto"/>
        <w:ind w:left="2160"/>
        <w:jc w:val="both"/>
      </w:pPr>
    </w:p>
    <w:p w:rsidR="002F20B5" w:rsidRDefault="002F20B5" w:rsidP="00E152D6">
      <w:pPr>
        <w:spacing w:after="0" w:line="240" w:lineRule="auto"/>
        <w:ind w:left="2880"/>
        <w:jc w:val="both"/>
      </w:pPr>
      <w:r>
        <w:t>(A) prevent resident complications from heat exposure during a power outage, including requiring the facility to maintain a temperature between 71 degrees and 81 degrees Fahrenheit;</w:t>
      </w:r>
    </w:p>
    <w:p w:rsidR="002F20B5" w:rsidRDefault="002F20B5" w:rsidP="00E152D6">
      <w:pPr>
        <w:spacing w:after="0" w:line="240" w:lineRule="auto"/>
        <w:ind w:left="2880"/>
        <w:jc w:val="both"/>
      </w:pPr>
    </w:p>
    <w:p w:rsidR="002F20B5" w:rsidRDefault="002F20B5" w:rsidP="00E152D6">
      <w:pPr>
        <w:spacing w:after="0" w:line="240" w:lineRule="auto"/>
        <w:ind w:left="2880"/>
        <w:jc w:val="both"/>
      </w:pPr>
      <w:r>
        <w:t>(B) safely transport residents to an appropriate facility when the facility's management knows the facility is unable to maintain the facility's temperature within a range safe for residents; and</w:t>
      </w:r>
    </w:p>
    <w:p w:rsidR="002F20B5" w:rsidRDefault="002F20B5" w:rsidP="00E152D6">
      <w:pPr>
        <w:spacing w:after="0" w:line="240" w:lineRule="auto"/>
        <w:ind w:left="2880"/>
        <w:jc w:val="both"/>
      </w:pPr>
    </w:p>
    <w:p w:rsidR="002F20B5" w:rsidRDefault="002F20B5" w:rsidP="00E152D6">
      <w:pPr>
        <w:spacing w:after="0" w:line="240" w:lineRule="auto"/>
        <w:ind w:left="2880"/>
        <w:jc w:val="both"/>
      </w:pPr>
      <w:r>
        <w:t>(C) respond to inquiries from residents' family members during an emergency.</w:t>
      </w:r>
    </w:p>
    <w:p w:rsidR="002F20B5" w:rsidRDefault="002F20B5" w:rsidP="00E152D6">
      <w:pPr>
        <w:spacing w:after="0" w:line="240" w:lineRule="auto"/>
        <w:ind w:left="2880"/>
        <w:jc w:val="both"/>
      </w:pPr>
    </w:p>
    <w:p w:rsidR="002F20B5" w:rsidRDefault="002F20B5" w:rsidP="00E152D6">
      <w:pPr>
        <w:spacing w:after="0" w:line="240" w:lineRule="auto"/>
        <w:ind w:left="1440"/>
        <w:jc w:val="both"/>
      </w:pPr>
      <w:r>
        <w:t>(d) Requires each assisted living facility to provide to facility personnel the written policy prepared in accordance with Subsection (b)(2) and relevant training on the facility's emergency preparedness and response plan adopted under this section.</w:t>
      </w:r>
    </w:p>
    <w:p w:rsidR="002F20B5" w:rsidRDefault="002F20B5" w:rsidP="00E152D6">
      <w:pPr>
        <w:spacing w:after="0" w:line="240" w:lineRule="auto"/>
        <w:ind w:left="1440"/>
        <w:jc w:val="both"/>
      </w:pPr>
    </w:p>
    <w:p w:rsidR="002F20B5" w:rsidRDefault="002F20B5" w:rsidP="00E152D6">
      <w:pPr>
        <w:spacing w:after="0" w:line="240" w:lineRule="auto"/>
        <w:ind w:left="1440"/>
        <w:jc w:val="both"/>
      </w:pPr>
      <w:r>
        <w:t>(e) Requires an assisted living facility, in preparing for or responding to an emergency, to follow each procedure or requirement outlined in:</w:t>
      </w:r>
    </w:p>
    <w:p w:rsidR="002F20B5" w:rsidRDefault="002F20B5" w:rsidP="00E152D6">
      <w:pPr>
        <w:spacing w:after="0" w:line="240" w:lineRule="auto"/>
        <w:ind w:left="1440"/>
        <w:jc w:val="both"/>
      </w:pPr>
    </w:p>
    <w:p w:rsidR="002F20B5" w:rsidRDefault="002F20B5" w:rsidP="00E152D6">
      <w:pPr>
        <w:spacing w:after="0" w:line="240" w:lineRule="auto"/>
        <w:ind w:left="2160"/>
        <w:jc w:val="both"/>
      </w:pPr>
      <w:r>
        <w:t>(1) the emergency preparedness and response plan the facility adopts under this section, including contingency procedures or requirements to meet a resident's individual medical needs; and</w:t>
      </w:r>
    </w:p>
    <w:p w:rsidR="002F20B5" w:rsidRDefault="002F20B5" w:rsidP="00E152D6">
      <w:pPr>
        <w:spacing w:after="0" w:line="240" w:lineRule="auto"/>
        <w:ind w:left="2160"/>
        <w:jc w:val="both"/>
      </w:pPr>
    </w:p>
    <w:p w:rsidR="002F20B5" w:rsidRDefault="002F20B5" w:rsidP="00E152D6">
      <w:pPr>
        <w:spacing w:after="0" w:line="240" w:lineRule="auto"/>
        <w:ind w:left="2160"/>
        <w:jc w:val="both"/>
      </w:pPr>
      <w:r>
        <w:t>(2) the written policy prepared in accordance with Subsection (b)(2).</w:t>
      </w:r>
    </w:p>
    <w:p w:rsidR="002F20B5" w:rsidRDefault="002F20B5" w:rsidP="00E152D6">
      <w:pPr>
        <w:spacing w:after="0" w:line="240" w:lineRule="auto"/>
        <w:ind w:left="2160"/>
        <w:jc w:val="both"/>
      </w:pPr>
    </w:p>
    <w:p w:rsidR="002F20B5" w:rsidRPr="0057690A" w:rsidRDefault="002F20B5" w:rsidP="00E152D6">
      <w:pPr>
        <w:spacing w:after="0" w:line="240" w:lineRule="auto"/>
        <w:ind w:left="1440"/>
        <w:jc w:val="both"/>
      </w:pPr>
      <w:r>
        <w:t xml:space="preserve">(f) Requires HHSC to review and approve each assisted living facility's emergency preparedness and response plan required by this section and each update to the plan. Authorizes HHSC to revoke a facility's license issued under </w:t>
      </w:r>
      <w:r w:rsidRPr="0057690A">
        <w:t>Chapter</w:t>
      </w:r>
      <w:r>
        <w:t xml:space="preserve"> 242 for failure to comply with this section or rules adopted under this section.</w:t>
      </w:r>
    </w:p>
    <w:p w:rsidR="002F20B5" w:rsidRDefault="002F20B5" w:rsidP="00E152D6">
      <w:pPr>
        <w:spacing w:after="0" w:line="240" w:lineRule="auto"/>
        <w:ind w:left="1440"/>
        <w:jc w:val="both"/>
        <w:rPr>
          <w:rFonts w:eastAsia="Times New Roman" w:cs="Times New Roman"/>
          <w:szCs w:val="24"/>
        </w:rPr>
      </w:pPr>
    </w:p>
    <w:p w:rsidR="002F20B5" w:rsidRDefault="002F20B5" w:rsidP="00E152D6">
      <w:pPr>
        <w:spacing w:after="0" w:line="240" w:lineRule="auto"/>
        <w:ind w:left="1440"/>
        <w:jc w:val="both"/>
        <w:rPr>
          <w:rFonts w:eastAsia="Times New Roman" w:cs="Times New Roman"/>
          <w:szCs w:val="24"/>
        </w:rPr>
      </w:pPr>
      <w:r>
        <w:rPr>
          <w:rFonts w:eastAsia="Times New Roman" w:cs="Times New Roman"/>
          <w:szCs w:val="24"/>
        </w:rPr>
        <w:t>(g) Requires the executive commissioner of HHSC to adopt the rules necessary to administer and enforce this section.</w:t>
      </w:r>
    </w:p>
    <w:p w:rsidR="002F20B5" w:rsidRPr="005C2A78" w:rsidRDefault="002F20B5" w:rsidP="00E152D6">
      <w:pPr>
        <w:spacing w:after="0" w:line="240" w:lineRule="auto"/>
        <w:ind w:left="1440"/>
        <w:jc w:val="both"/>
        <w:rPr>
          <w:rFonts w:eastAsia="Times New Roman" w:cs="Times New Roman"/>
          <w:szCs w:val="24"/>
        </w:rPr>
      </w:pPr>
    </w:p>
    <w:p w:rsidR="002F20B5" w:rsidRDefault="002F20B5" w:rsidP="00E152D6">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Requires each nursing facility and assisted living facility, as soon as practicable after the effective date of this Act, to adopt </w:t>
      </w:r>
      <w:r>
        <w:t>and implement an emergency preparedness and response plan as required by Sections 242.053 and 247.073, Health and Safety Code, as added by this Act.</w:t>
      </w:r>
    </w:p>
    <w:p w:rsidR="002F20B5" w:rsidRDefault="002F20B5" w:rsidP="00E152D6">
      <w:pPr>
        <w:spacing w:after="0" w:line="240" w:lineRule="auto"/>
        <w:jc w:val="both"/>
        <w:rPr>
          <w:rFonts w:eastAsia="Times New Roman" w:cs="Times New Roman"/>
          <w:szCs w:val="24"/>
        </w:rPr>
      </w:pPr>
    </w:p>
    <w:p w:rsidR="002F20B5" w:rsidRDefault="002F20B5" w:rsidP="00E152D6">
      <w:pPr>
        <w:spacing w:after="0" w:line="240" w:lineRule="auto"/>
        <w:jc w:val="both"/>
        <w:rPr>
          <w:rFonts w:eastAsia="Times New Roman" w:cs="Times New Roman"/>
          <w:szCs w:val="24"/>
        </w:rPr>
      </w:pPr>
      <w:r>
        <w:rPr>
          <w:rFonts w:eastAsia="Times New Roman" w:cs="Times New Roman"/>
          <w:szCs w:val="24"/>
        </w:rPr>
        <w:t xml:space="preserve">SECTION 4. Requires the executive commissioner of HHSC, as soon as practicable after the effective date of this Act, to </w:t>
      </w:r>
      <w:r>
        <w:t>adopt the rules required by Sections 242.053 and 247.073, Health and Safety Code, as added by this Act.</w:t>
      </w:r>
    </w:p>
    <w:p w:rsidR="002F20B5" w:rsidRDefault="002F20B5" w:rsidP="00E152D6">
      <w:pPr>
        <w:spacing w:after="0" w:line="240" w:lineRule="auto"/>
        <w:jc w:val="both"/>
        <w:rPr>
          <w:rFonts w:eastAsia="Times New Roman" w:cs="Times New Roman"/>
          <w:szCs w:val="24"/>
        </w:rPr>
      </w:pPr>
    </w:p>
    <w:p w:rsidR="002F20B5" w:rsidRPr="00C8671F" w:rsidRDefault="002F20B5" w:rsidP="00E152D6">
      <w:pPr>
        <w:spacing w:after="0" w:line="240" w:lineRule="auto"/>
        <w:jc w:val="both"/>
        <w:rPr>
          <w:rFonts w:eastAsia="Times New Roman" w:cs="Times New Roman"/>
          <w:szCs w:val="24"/>
        </w:rPr>
      </w:pPr>
      <w:r>
        <w:rPr>
          <w:rFonts w:eastAsia="Times New Roman" w:cs="Times New Roman"/>
          <w:szCs w:val="24"/>
        </w:rPr>
        <w:t>SECTION 5. Effective date: September 1, 2025.</w:t>
      </w:r>
    </w:p>
    <w:sectPr w:rsidR="002F20B5"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C10D3" w:rsidRDefault="00EC10D3" w:rsidP="000F1DF9">
      <w:pPr>
        <w:spacing w:after="0" w:line="240" w:lineRule="auto"/>
      </w:pPr>
      <w:r>
        <w:separator/>
      </w:r>
    </w:p>
  </w:endnote>
  <w:endnote w:type="continuationSeparator" w:id="0">
    <w:p w:rsidR="00EC10D3" w:rsidRDefault="00EC10D3"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EC10D3"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2F20B5">
                <w:rPr>
                  <w:sz w:val="20"/>
                  <w:szCs w:val="20"/>
                </w:rPr>
                <w:t>ADC</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2F20B5">
                <w:rPr>
                  <w:sz w:val="20"/>
                  <w:szCs w:val="20"/>
                </w:rPr>
                <w:t>S.B. 481</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2F20B5">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EC10D3"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C10D3" w:rsidRDefault="00EC10D3" w:rsidP="000F1DF9">
      <w:pPr>
        <w:spacing w:after="0" w:line="240" w:lineRule="auto"/>
      </w:pPr>
      <w:r>
        <w:separator/>
      </w:r>
    </w:p>
  </w:footnote>
  <w:footnote w:type="continuationSeparator" w:id="0">
    <w:p w:rsidR="00EC10D3" w:rsidRDefault="00EC10D3"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2F20B5"/>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AE3F44"/>
    <w:rsid w:val="00B43543"/>
    <w:rsid w:val="00B53F07"/>
    <w:rsid w:val="00B97023"/>
    <w:rsid w:val="00BB7C00"/>
    <w:rsid w:val="00BC7495"/>
    <w:rsid w:val="00BD0CEE"/>
    <w:rsid w:val="00BE4852"/>
    <w:rsid w:val="00C04606"/>
    <w:rsid w:val="00C10A08"/>
    <w:rsid w:val="00C1585E"/>
    <w:rsid w:val="00C43D01"/>
    <w:rsid w:val="00C65088"/>
    <w:rsid w:val="00C8671F"/>
    <w:rsid w:val="00CC3D4A"/>
    <w:rsid w:val="00D11363"/>
    <w:rsid w:val="00D70925"/>
    <w:rsid w:val="00DB48D8"/>
    <w:rsid w:val="00E036F8"/>
    <w:rsid w:val="00E10F50"/>
    <w:rsid w:val="00E23091"/>
    <w:rsid w:val="00E32B14"/>
    <w:rsid w:val="00E46194"/>
    <w:rsid w:val="00EC10D3"/>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972BC"/>
  <w15:docId w15:val="{0A1DABB9-263F-40E5-A03E-38E0C3696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2F20B5"/>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80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90FBCD7CF0924C77B9024335DD3B614F"/>
        <w:category>
          <w:name w:val="General"/>
          <w:gallery w:val="placeholder"/>
        </w:category>
        <w:types>
          <w:type w:val="bbPlcHdr"/>
        </w:types>
        <w:behaviors>
          <w:behavior w:val="content"/>
        </w:behaviors>
        <w:guid w:val="{D70045FE-8A8E-4B6C-B08B-04E04FAAF28C}"/>
      </w:docPartPr>
      <w:docPartBody>
        <w:p w:rsidR="00196B58" w:rsidRDefault="00196B58"/>
      </w:docPartBody>
    </w:docPart>
    <w:docPart>
      <w:docPartPr>
        <w:name w:val="663B2282BF7A4E199F28DAB3358BB592"/>
        <w:category>
          <w:name w:val="General"/>
          <w:gallery w:val="placeholder"/>
        </w:category>
        <w:types>
          <w:type w:val="bbPlcHdr"/>
        </w:types>
        <w:behaviors>
          <w:behavior w:val="content"/>
        </w:behaviors>
        <w:guid w:val="{7732E192-306E-4425-8681-3E0A559C889B}"/>
      </w:docPartPr>
      <w:docPartBody>
        <w:p w:rsidR="00196B58" w:rsidRDefault="00196B58"/>
      </w:docPartBody>
    </w:docPart>
    <w:docPart>
      <w:docPartPr>
        <w:name w:val="4DAFF2F583A942B088076A8E12345107"/>
        <w:category>
          <w:name w:val="General"/>
          <w:gallery w:val="placeholder"/>
        </w:category>
        <w:types>
          <w:type w:val="bbPlcHdr"/>
        </w:types>
        <w:behaviors>
          <w:behavior w:val="content"/>
        </w:behaviors>
        <w:guid w:val="{9786FACA-BCA5-417E-8623-68081C80EC93}"/>
      </w:docPartPr>
      <w:docPartBody>
        <w:p w:rsidR="00196B58" w:rsidRDefault="00196B58"/>
      </w:docPartBody>
    </w:docPart>
    <w:docPart>
      <w:docPartPr>
        <w:name w:val="1C27E796DA7E48C3917D7A48C44B2D70"/>
        <w:category>
          <w:name w:val="General"/>
          <w:gallery w:val="placeholder"/>
        </w:category>
        <w:types>
          <w:type w:val="bbPlcHdr"/>
        </w:types>
        <w:behaviors>
          <w:behavior w:val="content"/>
        </w:behaviors>
        <w:guid w:val="{F73160D7-D97A-46F8-B4F1-E7AF0DA82CE1}"/>
      </w:docPartPr>
      <w:docPartBody>
        <w:p w:rsidR="00196B58" w:rsidRDefault="00196B58"/>
      </w:docPartBody>
    </w:docPart>
    <w:docPart>
      <w:docPartPr>
        <w:name w:val="D7914B7D24AB480B9B5730A6496FEEDD"/>
        <w:category>
          <w:name w:val="General"/>
          <w:gallery w:val="placeholder"/>
        </w:category>
        <w:types>
          <w:type w:val="bbPlcHdr"/>
        </w:types>
        <w:behaviors>
          <w:behavior w:val="content"/>
        </w:behaviors>
        <w:guid w:val="{0409727A-943C-419E-9CB7-E9E73D701327}"/>
      </w:docPartPr>
      <w:docPartBody>
        <w:p w:rsidR="00196B58" w:rsidRDefault="00196B58"/>
      </w:docPartBody>
    </w:docPart>
    <w:docPart>
      <w:docPartPr>
        <w:name w:val="F6BD03EB8CB54FFBB79939B62D65DE92"/>
        <w:category>
          <w:name w:val="General"/>
          <w:gallery w:val="placeholder"/>
        </w:category>
        <w:types>
          <w:type w:val="bbPlcHdr"/>
        </w:types>
        <w:behaviors>
          <w:behavior w:val="content"/>
        </w:behaviors>
        <w:guid w:val="{BC8F9D72-B873-4BD7-82E4-62124F259DFA}"/>
      </w:docPartPr>
      <w:docPartBody>
        <w:p w:rsidR="00196B58" w:rsidRDefault="00196B58"/>
      </w:docPartBody>
    </w:docPart>
    <w:docPart>
      <w:docPartPr>
        <w:name w:val="A9FA201FAC304B93B32973249D6AEC63"/>
        <w:category>
          <w:name w:val="General"/>
          <w:gallery w:val="placeholder"/>
        </w:category>
        <w:types>
          <w:type w:val="bbPlcHdr"/>
        </w:types>
        <w:behaviors>
          <w:behavior w:val="content"/>
        </w:behaviors>
        <w:guid w:val="{02D68395-B34F-45B1-B2C2-3F35DE864FBF}"/>
      </w:docPartPr>
      <w:docPartBody>
        <w:p w:rsidR="00196B58" w:rsidRDefault="00196B58"/>
      </w:docPartBody>
    </w:docPart>
    <w:docPart>
      <w:docPartPr>
        <w:name w:val="F5F487BF72F04CF1AEEBE0477033FE98"/>
        <w:category>
          <w:name w:val="General"/>
          <w:gallery w:val="placeholder"/>
        </w:category>
        <w:types>
          <w:type w:val="bbPlcHdr"/>
        </w:types>
        <w:behaviors>
          <w:behavior w:val="content"/>
        </w:behaviors>
        <w:guid w:val="{3CE1AF31-79CB-4785-9881-A132920AB65E}"/>
      </w:docPartPr>
      <w:docPartBody>
        <w:p w:rsidR="00196B58" w:rsidRDefault="00196B58"/>
      </w:docPartBody>
    </w:docPart>
    <w:docPart>
      <w:docPartPr>
        <w:name w:val="203BF30C4382472E9F435E432F21310A"/>
        <w:category>
          <w:name w:val="General"/>
          <w:gallery w:val="placeholder"/>
        </w:category>
        <w:types>
          <w:type w:val="bbPlcHdr"/>
        </w:types>
        <w:behaviors>
          <w:behavior w:val="content"/>
        </w:behaviors>
        <w:guid w:val="{1CDBF4F6-3773-492C-9193-33E1E67EA2D5}"/>
      </w:docPartPr>
      <w:docPartBody>
        <w:p w:rsidR="00196B58" w:rsidRDefault="00196B58"/>
      </w:docPartBody>
    </w:docPart>
    <w:docPart>
      <w:docPartPr>
        <w:name w:val="184B991A28724C31A5CC1F173F173605"/>
        <w:category>
          <w:name w:val="General"/>
          <w:gallery w:val="placeholder"/>
        </w:category>
        <w:types>
          <w:type w:val="bbPlcHdr"/>
        </w:types>
        <w:behaviors>
          <w:behavior w:val="content"/>
        </w:behaviors>
        <w:guid w:val="{B2BA8A0C-5C8F-44DA-B576-98E163C242F0}"/>
      </w:docPartPr>
      <w:docPartBody>
        <w:p w:rsidR="00196B58" w:rsidRDefault="007732F5" w:rsidP="007732F5">
          <w:pPr>
            <w:pStyle w:val="184B991A28724C31A5CC1F173F173605"/>
          </w:pPr>
          <w:r w:rsidRPr="00A30DD1">
            <w:rPr>
              <w:rStyle w:val="PlaceholderText"/>
            </w:rPr>
            <w:t>Click here to enter a date.</w:t>
          </w:r>
        </w:p>
      </w:docPartBody>
    </w:docPart>
    <w:docPart>
      <w:docPartPr>
        <w:name w:val="B2B138D2253049AAB809FF3A80D4A21E"/>
        <w:category>
          <w:name w:val="General"/>
          <w:gallery w:val="placeholder"/>
        </w:category>
        <w:types>
          <w:type w:val="bbPlcHdr"/>
        </w:types>
        <w:behaviors>
          <w:behavior w:val="content"/>
        </w:behaviors>
        <w:guid w:val="{CBBF8DB3-581A-496F-908F-82C18A7F58E4}"/>
      </w:docPartPr>
      <w:docPartBody>
        <w:p w:rsidR="00196B58" w:rsidRDefault="00196B58"/>
      </w:docPartBody>
    </w:docPart>
    <w:docPart>
      <w:docPartPr>
        <w:name w:val="E568BD40D0384735B3829E756FDBC4C6"/>
        <w:category>
          <w:name w:val="General"/>
          <w:gallery w:val="placeholder"/>
        </w:category>
        <w:types>
          <w:type w:val="bbPlcHdr"/>
        </w:types>
        <w:behaviors>
          <w:behavior w:val="content"/>
        </w:behaviors>
        <w:guid w:val="{199622E6-75EA-43A9-B249-8F1C6EF4A138}"/>
      </w:docPartPr>
      <w:docPartBody>
        <w:p w:rsidR="00196B58" w:rsidRDefault="00196B58"/>
      </w:docPartBody>
    </w:docPart>
    <w:docPart>
      <w:docPartPr>
        <w:name w:val="ED9C81BC9EEC462BAC5387D41BE82817"/>
        <w:category>
          <w:name w:val="General"/>
          <w:gallery w:val="placeholder"/>
        </w:category>
        <w:types>
          <w:type w:val="bbPlcHdr"/>
        </w:types>
        <w:behaviors>
          <w:behavior w:val="content"/>
        </w:behaviors>
        <w:guid w:val="{AABC64E0-06B9-4E22-A096-80689F7D0608}"/>
      </w:docPartPr>
      <w:docPartBody>
        <w:p w:rsidR="00196B58" w:rsidRDefault="007732F5" w:rsidP="007732F5">
          <w:pPr>
            <w:pStyle w:val="ED9C81BC9EEC462BAC5387D41BE82817"/>
          </w:pPr>
          <w:r>
            <w:rPr>
              <w:rFonts w:eastAsia="Times New Roman" w:cs="Times New Roman"/>
              <w:bCs/>
            </w:rPr>
            <w:t xml:space="preserve"> </w:t>
          </w:r>
        </w:p>
      </w:docPartBody>
    </w:docPart>
    <w:docPart>
      <w:docPartPr>
        <w:name w:val="6A0C4151F06443EAB2515F232211C07C"/>
        <w:category>
          <w:name w:val="General"/>
          <w:gallery w:val="placeholder"/>
        </w:category>
        <w:types>
          <w:type w:val="bbPlcHdr"/>
        </w:types>
        <w:behaviors>
          <w:behavior w:val="content"/>
        </w:behaviors>
        <w:guid w:val="{855AB97D-6440-43C7-8EC8-9B09CDFB045B}"/>
      </w:docPartPr>
      <w:docPartBody>
        <w:p w:rsidR="00196B58" w:rsidRDefault="00196B58"/>
      </w:docPartBody>
    </w:docPart>
    <w:docPart>
      <w:docPartPr>
        <w:name w:val="3E9D5E7DC8074F64A1670F3090E1F615"/>
        <w:category>
          <w:name w:val="General"/>
          <w:gallery w:val="placeholder"/>
        </w:category>
        <w:types>
          <w:type w:val="bbPlcHdr"/>
        </w:types>
        <w:behaviors>
          <w:behavior w:val="content"/>
        </w:behaviors>
        <w:guid w:val="{70B698A6-946F-4926-94A6-F934711B4B5B}"/>
      </w:docPartPr>
      <w:docPartBody>
        <w:p w:rsidR="00196B58" w:rsidRDefault="00196B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96B58"/>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7732F5"/>
    <w:rsid w:val="008C55F7"/>
    <w:rsid w:val="0090598B"/>
    <w:rsid w:val="00984D6C"/>
    <w:rsid w:val="00A54AD6"/>
    <w:rsid w:val="00A57564"/>
    <w:rsid w:val="00B252A4"/>
    <w:rsid w:val="00B5530B"/>
    <w:rsid w:val="00C129E8"/>
    <w:rsid w:val="00C1585E"/>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32F5"/>
    <w:rPr>
      <w:color w:val="808080"/>
    </w:rPr>
  </w:style>
  <w:style w:type="paragraph" w:customStyle="1" w:styleId="184B991A28724C31A5CC1F173F173605">
    <w:name w:val="184B991A28724C31A5CC1F173F173605"/>
    <w:rsid w:val="007732F5"/>
    <w:pPr>
      <w:spacing w:after="160" w:line="278" w:lineRule="auto"/>
    </w:pPr>
    <w:rPr>
      <w:kern w:val="2"/>
      <w:sz w:val="24"/>
      <w:szCs w:val="24"/>
      <w14:ligatures w14:val="standardContextual"/>
    </w:rPr>
  </w:style>
  <w:style w:type="paragraph" w:customStyle="1" w:styleId="ED9C81BC9EEC462BAC5387D41BE82817">
    <w:name w:val="ED9C81BC9EEC462BAC5387D41BE82817"/>
    <w:rsid w:val="007732F5"/>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5691</TotalTime>
  <Pages>1</Pages>
  <Words>1241</Words>
  <Characters>7077</Characters>
  <Application>Microsoft Office Word</Application>
  <DocSecurity>0</DocSecurity>
  <Lines>58</Lines>
  <Paragraphs>16</Paragraphs>
  <ScaleCrop>false</ScaleCrop>
  <Company>Texas Legislative Council</Company>
  <LinksUpToDate>false</LinksUpToDate>
  <CharactersWithSpaces>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Alejandro Conde</cp:lastModifiedBy>
  <cp:revision>161</cp:revision>
  <cp:lastPrinted>2025-03-24T13:56:00Z</cp:lastPrinted>
  <dcterms:created xsi:type="dcterms:W3CDTF">2015-05-29T14:24:00Z</dcterms:created>
  <dcterms:modified xsi:type="dcterms:W3CDTF">2025-03-24T13:56:00Z</dcterms:modified>
</cp:coreProperties>
</file>

<file path=docProps/custom.xml><?xml version="1.0" encoding="utf-8"?>
<op:Properties xmlns:vt="http://schemas.openxmlformats.org/officeDocument/2006/docPropsVTypes" xmlns:op="http://schemas.openxmlformats.org/officeDocument/2006/custom-properties"/>
</file>