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72737" w14:paraId="0620FE56" w14:textId="77777777" w:rsidTr="00345119">
        <w:tc>
          <w:tcPr>
            <w:tcW w:w="9576" w:type="dxa"/>
            <w:noWrap/>
          </w:tcPr>
          <w:p w14:paraId="6234294B" w14:textId="77777777" w:rsidR="008423E4" w:rsidRPr="0022177D" w:rsidRDefault="00A4307C" w:rsidP="00273227">
            <w:pPr>
              <w:pStyle w:val="Heading1"/>
            </w:pPr>
            <w:r w:rsidRPr="00631897">
              <w:t>BILL ANALYSIS</w:t>
            </w:r>
          </w:p>
        </w:tc>
      </w:tr>
    </w:tbl>
    <w:p w14:paraId="3AC9E5C9" w14:textId="77777777" w:rsidR="008423E4" w:rsidRPr="0022177D" w:rsidRDefault="008423E4" w:rsidP="00273227">
      <w:pPr>
        <w:jc w:val="center"/>
      </w:pPr>
    </w:p>
    <w:p w14:paraId="6E8120DD" w14:textId="77777777" w:rsidR="008423E4" w:rsidRPr="00B31F0E" w:rsidRDefault="008423E4" w:rsidP="00273227"/>
    <w:p w14:paraId="6AD6BE1C" w14:textId="77777777" w:rsidR="008423E4" w:rsidRPr="00742794" w:rsidRDefault="008423E4" w:rsidP="0027322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72737" w14:paraId="2BFB1462" w14:textId="77777777" w:rsidTr="00345119">
        <w:tc>
          <w:tcPr>
            <w:tcW w:w="9576" w:type="dxa"/>
          </w:tcPr>
          <w:p w14:paraId="4B4833E1" w14:textId="0E54B73E" w:rsidR="008423E4" w:rsidRPr="00861995" w:rsidRDefault="00A4307C" w:rsidP="00273227">
            <w:pPr>
              <w:jc w:val="right"/>
            </w:pPr>
            <w:r>
              <w:t>C.S.S.B. 482</w:t>
            </w:r>
          </w:p>
        </w:tc>
      </w:tr>
      <w:tr w:rsidR="00E72737" w14:paraId="5A24F333" w14:textId="77777777" w:rsidTr="00345119">
        <w:tc>
          <w:tcPr>
            <w:tcW w:w="9576" w:type="dxa"/>
          </w:tcPr>
          <w:p w14:paraId="5A49BEAE" w14:textId="4479C3AE" w:rsidR="008423E4" w:rsidRPr="00861995" w:rsidRDefault="00A4307C" w:rsidP="00273227">
            <w:pPr>
              <w:jc w:val="right"/>
            </w:pPr>
            <w:r>
              <w:t xml:space="preserve">By: </w:t>
            </w:r>
            <w:r w:rsidR="0061597F">
              <w:t>Alvarado</w:t>
            </w:r>
          </w:p>
        </w:tc>
      </w:tr>
      <w:tr w:rsidR="00E72737" w14:paraId="5887CEDC" w14:textId="77777777" w:rsidTr="00345119">
        <w:tc>
          <w:tcPr>
            <w:tcW w:w="9576" w:type="dxa"/>
          </w:tcPr>
          <w:p w14:paraId="5692CB23" w14:textId="63066E82" w:rsidR="008423E4" w:rsidRPr="00861995" w:rsidRDefault="00A4307C" w:rsidP="00273227">
            <w:pPr>
              <w:jc w:val="right"/>
            </w:pPr>
            <w:r>
              <w:t>Criminal Jurisprudence</w:t>
            </w:r>
          </w:p>
        </w:tc>
      </w:tr>
      <w:tr w:rsidR="00E72737" w14:paraId="43AAA60D" w14:textId="77777777" w:rsidTr="00345119">
        <w:tc>
          <w:tcPr>
            <w:tcW w:w="9576" w:type="dxa"/>
          </w:tcPr>
          <w:p w14:paraId="6D17C342" w14:textId="4119BC37" w:rsidR="008423E4" w:rsidRDefault="00A4307C" w:rsidP="00273227">
            <w:pPr>
              <w:jc w:val="right"/>
            </w:pPr>
            <w:r>
              <w:t>Committee Report (Substituted)</w:t>
            </w:r>
          </w:p>
        </w:tc>
      </w:tr>
    </w:tbl>
    <w:p w14:paraId="04B109EE" w14:textId="77777777" w:rsidR="008423E4" w:rsidRDefault="008423E4" w:rsidP="00273227">
      <w:pPr>
        <w:tabs>
          <w:tab w:val="right" w:pos="9360"/>
        </w:tabs>
      </w:pPr>
    </w:p>
    <w:p w14:paraId="16D6B4B3" w14:textId="77777777" w:rsidR="008423E4" w:rsidRDefault="008423E4" w:rsidP="00273227"/>
    <w:p w14:paraId="45DEE436" w14:textId="77777777" w:rsidR="008423E4" w:rsidRDefault="008423E4" w:rsidP="0027322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72737" w14:paraId="2411D64B" w14:textId="77777777" w:rsidTr="00273227">
        <w:tc>
          <w:tcPr>
            <w:tcW w:w="9360" w:type="dxa"/>
          </w:tcPr>
          <w:p w14:paraId="12E5B367" w14:textId="77777777" w:rsidR="008423E4" w:rsidRPr="00A8133F" w:rsidRDefault="00A4307C" w:rsidP="0027322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1202A59" w14:textId="77777777" w:rsidR="008423E4" w:rsidRDefault="008423E4" w:rsidP="00273227"/>
          <w:p w14:paraId="1A054717" w14:textId="6FC745EC" w:rsidR="008423E4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sponsor has informed the committee that, a</w:t>
            </w:r>
            <w:r w:rsidR="0011574A" w:rsidRPr="0011574A">
              <w:t xml:space="preserve">fter Hurricane Beryl and other recent natural disasters, media reports </w:t>
            </w:r>
            <w:r w:rsidR="00C50E30">
              <w:t>highlighted the</w:t>
            </w:r>
            <w:r w:rsidR="0011574A" w:rsidRPr="0011574A">
              <w:t xml:space="preserve"> threats, harassment, and assaults that utility workers faced in their vital work to restore power and critical services to Texas residents impacted by </w:t>
            </w:r>
            <w:r w:rsidR="00C81608">
              <w:t xml:space="preserve">those </w:t>
            </w:r>
            <w:r w:rsidR="0011574A" w:rsidRPr="0011574A">
              <w:t xml:space="preserve">disasters. While certain </w:t>
            </w:r>
            <w:r w:rsidR="00C50E30">
              <w:t>assault conduct is</w:t>
            </w:r>
            <w:r w:rsidR="0011574A" w:rsidRPr="0011574A">
              <w:t xml:space="preserve"> enhanced</w:t>
            </w:r>
            <w:r w:rsidR="00C50E30">
              <w:t xml:space="preserve"> if committed against</w:t>
            </w:r>
            <w:r w:rsidR="0011574A" w:rsidRPr="0011574A">
              <w:t xml:space="preserve"> </w:t>
            </w:r>
            <w:r w:rsidR="00C50E30">
              <w:t xml:space="preserve">individuals performing </w:t>
            </w:r>
            <w:r w:rsidR="0011574A" w:rsidRPr="0011574A">
              <w:t>law enforcement duties</w:t>
            </w:r>
            <w:r w:rsidR="00C50E30">
              <w:t xml:space="preserve"> or</w:t>
            </w:r>
            <w:r w:rsidR="0011574A" w:rsidRPr="0011574A">
              <w:t xml:space="preserve"> </w:t>
            </w:r>
            <w:r w:rsidR="00C50E30">
              <w:t xml:space="preserve">against </w:t>
            </w:r>
            <w:r w:rsidR="0011574A" w:rsidRPr="0011574A">
              <w:t xml:space="preserve">hospital personnel, </w:t>
            </w:r>
            <w:r w:rsidR="00C50E30">
              <w:t xml:space="preserve">there is no </w:t>
            </w:r>
            <w:r w:rsidR="00C81608">
              <w:t xml:space="preserve">specific assault </w:t>
            </w:r>
            <w:r w:rsidR="00C50E30">
              <w:t>enhancement that applies</w:t>
            </w:r>
            <w:r w:rsidR="0011574A" w:rsidRPr="0011574A">
              <w:t xml:space="preserve"> to utility workers.</w:t>
            </w:r>
            <w:r w:rsidR="0011574A">
              <w:t xml:space="preserve"> </w:t>
            </w:r>
            <w:r w:rsidR="0011574A" w:rsidRPr="0011574A">
              <w:t>C</w:t>
            </w:r>
            <w:r>
              <w:t>.</w:t>
            </w:r>
            <w:r w:rsidR="0011574A" w:rsidRPr="0011574A">
              <w:t>S</w:t>
            </w:r>
            <w:r>
              <w:t>.</w:t>
            </w:r>
            <w:r w:rsidR="0011574A" w:rsidRPr="0011574A">
              <w:t>S</w:t>
            </w:r>
            <w:r>
              <w:t>.</w:t>
            </w:r>
            <w:r w:rsidR="0011574A" w:rsidRPr="0011574A">
              <w:t>B</w:t>
            </w:r>
            <w:r>
              <w:t>.</w:t>
            </w:r>
            <w:r w:rsidR="0011574A" w:rsidRPr="0011574A">
              <w:t xml:space="preserve"> 482 </w:t>
            </w:r>
            <w:r w:rsidR="00AB4CA0">
              <w:t>seeks t</w:t>
            </w:r>
            <w:r w:rsidR="00C50E30">
              <w:t xml:space="preserve">o address this issue by providing penalty enhancements for assault </w:t>
            </w:r>
            <w:r w:rsidR="00C81608">
              <w:t>or</w:t>
            </w:r>
            <w:r w:rsidR="00C50E30">
              <w:t xml:space="preserve"> harassment committed against certain employees or agents of a utility</w:t>
            </w:r>
            <w:r w:rsidR="0011574A" w:rsidRPr="0011574A">
              <w:t>.</w:t>
            </w:r>
          </w:p>
          <w:p w14:paraId="5784FE04" w14:textId="77777777" w:rsidR="008423E4" w:rsidRPr="00E26B13" w:rsidRDefault="008423E4" w:rsidP="00273227">
            <w:pPr>
              <w:rPr>
                <w:b/>
              </w:rPr>
            </w:pPr>
          </w:p>
        </w:tc>
      </w:tr>
      <w:tr w:rsidR="00E72737" w14:paraId="3468B83B" w14:textId="77777777" w:rsidTr="00273227">
        <w:tc>
          <w:tcPr>
            <w:tcW w:w="9360" w:type="dxa"/>
          </w:tcPr>
          <w:p w14:paraId="5B56B1DE" w14:textId="77777777" w:rsidR="0017725B" w:rsidRDefault="00A4307C" w:rsidP="002732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7F27B73" w14:textId="77777777" w:rsidR="0017725B" w:rsidRDefault="0017725B" w:rsidP="00273227">
            <w:pPr>
              <w:rPr>
                <w:b/>
                <w:u w:val="single"/>
              </w:rPr>
            </w:pPr>
          </w:p>
          <w:p w14:paraId="13030276" w14:textId="0680B8BB" w:rsidR="00D21EF5" w:rsidRPr="00D52F85" w:rsidRDefault="00A4307C" w:rsidP="00273227">
            <w:pPr>
              <w:jc w:val="both"/>
            </w:pPr>
            <w:r>
              <w:t xml:space="preserve">It is the committee's opinion that this bill expressly does one or more of the following: creates a </w:t>
            </w:r>
            <w:r>
              <w:t>criminal offense, increases the punishment for an existing criminal offense or category of offenses, or changes the eligibility of a person for community supervision, parole, or mandatory supervision.</w:t>
            </w:r>
          </w:p>
          <w:p w14:paraId="105F55BC" w14:textId="77777777" w:rsidR="0017725B" w:rsidRPr="0017725B" w:rsidRDefault="0017725B" w:rsidP="00273227">
            <w:pPr>
              <w:rPr>
                <w:b/>
                <w:u w:val="single"/>
              </w:rPr>
            </w:pPr>
          </w:p>
        </w:tc>
      </w:tr>
      <w:tr w:rsidR="00E72737" w14:paraId="5EF208F9" w14:textId="77777777" w:rsidTr="00273227">
        <w:tc>
          <w:tcPr>
            <w:tcW w:w="9360" w:type="dxa"/>
          </w:tcPr>
          <w:p w14:paraId="30708C59" w14:textId="77777777" w:rsidR="008423E4" w:rsidRPr="00A8133F" w:rsidRDefault="00A4307C" w:rsidP="0027322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8C4EECC" w14:textId="77777777" w:rsidR="008423E4" w:rsidRDefault="008423E4" w:rsidP="00273227"/>
          <w:p w14:paraId="66C40BC6" w14:textId="0A049AA7" w:rsidR="00D52F85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7897248" w14:textId="77777777" w:rsidR="008423E4" w:rsidRPr="00E21FDC" w:rsidRDefault="008423E4" w:rsidP="00273227">
            <w:pPr>
              <w:rPr>
                <w:b/>
              </w:rPr>
            </w:pPr>
          </w:p>
        </w:tc>
      </w:tr>
      <w:tr w:rsidR="00E72737" w14:paraId="5548AB59" w14:textId="77777777" w:rsidTr="00273227">
        <w:tc>
          <w:tcPr>
            <w:tcW w:w="9360" w:type="dxa"/>
          </w:tcPr>
          <w:p w14:paraId="064F29FA" w14:textId="77777777" w:rsidR="008423E4" w:rsidRPr="00A8133F" w:rsidRDefault="00A4307C" w:rsidP="0027322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60A166B" w14:textId="77777777" w:rsidR="008423E4" w:rsidRDefault="008423E4" w:rsidP="00273227"/>
          <w:p w14:paraId="49562BF2" w14:textId="6F463903" w:rsidR="00B1103E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</w:t>
            </w:r>
            <w:r w:rsidR="00EF6F8D">
              <w:t>.</w:t>
            </w:r>
            <w:r>
              <w:t xml:space="preserve"> 482 amends the </w:t>
            </w:r>
            <w:r w:rsidRPr="0061597F">
              <w:t>Penal Code</w:t>
            </w:r>
            <w:r>
              <w:t xml:space="preserve"> to</w:t>
            </w:r>
            <w:r w:rsidR="005B390D">
              <w:t xml:space="preserve"> </w:t>
            </w:r>
            <w:r w:rsidR="009B545A">
              <w:t xml:space="preserve">enhance </w:t>
            </w:r>
            <w:r w:rsidR="00F249BE">
              <w:t>the penalty for assault in which the actor intentionally, knowingly, or recklessly causes bodily injury to another from a Class A misdemeanor to a third degree felony if the offense is committed against</w:t>
            </w:r>
            <w:r w:rsidRPr="00B1103E">
              <w:t xml:space="preserve"> a person the actor knows or reasonably should know is an employee or agent of a utility while the person is performing a duty within the scope of that employment or agency.</w:t>
            </w:r>
            <w:r>
              <w:t xml:space="preserve"> The bill establish</w:t>
            </w:r>
            <w:r w:rsidR="005B390D">
              <w:t>es</w:t>
            </w:r>
            <w:r>
              <w:t xml:space="preserve"> that</w:t>
            </w:r>
            <w:r w:rsidR="00F249BE">
              <w:t>, for purposes of the enhancement,</w:t>
            </w:r>
            <w:r>
              <w:t xml:space="preserve"> </w:t>
            </w:r>
            <w:r w:rsidRPr="00B1103E">
              <w:t>the actor is presumed to have known the person assaulted was an employee or agent of a utility if the person was wearin</w:t>
            </w:r>
            <w:r w:rsidRPr="00B1103E">
              <w:t>g a distinctive uniform or badge indicating the person's employment, agency</w:t>
            </w:r>
            <w:r>
              <w:t>, or status, as applicable.</w:t>
            </w:r>
          </w:p>
          <w:p w14:paraId="5851291B" w14:textId="77777777" w:rsidR="00B1103E" w:rsidRDefault="00B1103E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BD7D8E4" w14:textId="291F85D6" w:rsidR="00B1103E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1103E">
              <w:t>C.S.S.B</w:t>
            </w:r>
            <w:r w:rsidR="00EF6F8D">
              <w:t>.</w:t>
            </w:r>
            <w:r w:rsidRPr="00B1103E">
              <w:t xml:space="preserve"> 482 </w:t>
            </w:r>
            <w:r w:rsidR="00A14ABC">
              <w:t xml:space="preserve">enhances the penalty for </w:t>
            </w:r>
            <w:r>
              <w:t>harassment</w:t>
            </w:r>
            <w:r w:rsidRPr="00B1103E">
              <w:t xml:space="preserve"> </w:t>
            </w:r>
            <w:r w:rsidR="00A14ABC">
              <w:t xml:space="preserve">from a Class B misdemeanor to a Class A misdemeanor if </w:t>
            </w:r>
            <w:r w:rsidRPr="00B1103E">
              <w:t>the offense was committed against a person the actor knows or reasonably should know is an employee or agent of a utility while the person is performing a duty within the scope of that employment or agency.</w:t>
            </w:r>
          </w:p>
          <w:p w14:paraId="39313E58" w14:textId="77777777" w:rsidR="00B1103E" w:rsidRDefault="00B1103E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45E55C5" w14:textId="54D5043E" w:rsidR="00B1103E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1103E">
              <w:t>C.S.S.B</w:t>
            </w:r>
            <w:r w:rsidR="00EF6F8D">
              <w:t>.</w:t>
            </w:r>
            <w:r w:rsidRPr="00B1103E">
              <w:t xml:space="preserve"> 482</w:t>
            </w:r>
            <w:r w:rsidR="00F03EE9">
              <w:t xml:space="preserve"> defines "utility</w:t>
            </w:r>
            <w:r w:rsidR="00C7119C">
              <w:t>,</w:t>
            </w:r>
            <w:r w:rsidR="00F03EE9">
              <w:t>"</w:t>
            </w:r>
            <w:r w:rsidR="00C7119C">
              <w:t xml:space="preserve"> for the purposes of assault </w:t>
            </w:r>
            <w:r w:rsidR="00C81608">
              <w:t xml:space="preserve">and harassment </w:t>
            </w:r>
            <w:r w:rsidR="00C7119C">
              <w:t>offense</w:t>
            </w:r>
            <w:r w:rsidR="00C81608">
              <w:t>s</w:t>
            </w:r>
            <w:r w:rsidR="00C7119C">
              <w:t>,</w:t>
            </w:r>
            <w:r w:rsidR="00F03EE9">
              <w:t xml:space="preserve"> as </w:t>
            </w:r>
            <w:r w:rsidR="00DC7EB0">
              <w:t xml:space="preserve">the </w:t>
            </w:r>
            <w:r w:rsidR="00F03EE9">
              <w:t>follow</w:t>
            </w:r>
            <w:r w:rsidR="00DC7EB0">
              <w:t>ing</w:t>
            </w:r>
            <w:r w:rsidR="00F03EE9">
              <w:t>:</w:t>
            </w:r>
          </w:p>
          <w:p w14:paraId="2F162A7B" w14:textId="0FE5A97B" w:rsidR="00F03EE9" w:rsidRDefault="00A4307C" w:rsidP="0027322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an electric utility</w:t>
            </w:r>
            <w:r w:rsidR="00DC7EB0">
              <w:t xml:space="preserve">, </w:t>
            </w:r>
            <w:r>
              <w:t>telecommunications provider</w:t>
            </w:r>
            <w:r w:rsidR="00DC7EB0">
              <w:t>,</w:t>
            </w:r>
            <w:r w:rsidR="00F83481">
              <w:t xml:space="preserve"> </w:t>
            </w:r>
            <w:r>
              <w:t>cable service provider or video service provider</w:t>
            </w:r>
            <w:r w:rsidR="00E7540D">
              <w:t>, or</w:t>
            </w:r>
            <w:r w:rsidR="00D52F85">
              <w:t xml:space="preserve"> </w:t>
            </w:r>
            <w:r w:rsidR="00E7540D" w:rsidRPr="00E7540D">
              <w:t>electric cooperative or municipally owned utility</w:t>
            </w:r>
            <w:r w:rsidR="00E7540D">
              <w:t>,</w:t>
            </w:r>
            <w:r w:rsidR="00E7540D" w:rsidRPr="00E7540D">
              <w:t xml:space="preserve"> </w:t>
            </w:r>
            <w:r w:rsidR="00D52F85">
              <w:t xml:space="preserve">as defined </w:t>
            </w:r>
            <w:r w:rsidR="00F83481">
              <w:t xml:space="preserve">by </w:t>
            </w:r>
            <w:r w:rsidR="00D52F85">
              <w:t>the</w:t>
            </w:r>
            <w:r w:rsidR="00F83481">
              <w:t xml:space="preserve"> P</w:t>
            </w:r>
            <w:r w:rsidR="00F83481" w:rsidRPr="00F83481">
              <w:t xml:space="preserve">ublic </w:t>
            </w:r>
            <w:r w:rsidR="00F83481">
              <w:t>U</w:t>
            </w:r>
            <w:r w:rsidR="00F83481" w:rsidRPr="00F83481">
              <w:t xml:space="preserve">tility </w:t>
            </w:r>
            <w:r w:rsidR="00F83481">
              <w:t>R</w:t>
            </w:r>
            <w:r w:rsidR="00F83481" w:rsidRPr="00F83481">
              <w:t xml:space="preserve">egulatory </w:t>
            </w:r>
            <w:r w:rsidR="00F83481">
              <w:t>A</w:t>
            </w:r>
            <w:r w:rsidR="00D52F85">
              <w:t>ct</w:t>
            </w:r>
            <w:r>
              <w:t>;</w:t>
            </w:r>
          </w:p>
          <w:p w14:paraId="432184AD" w14:textId="36050F44" w:rsidR="00F03EE9" w:rsidRDefault="00A4307C" w:rsidP="00273227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 gas utility, </w:t>
            </w:r>
            <w:r w:rsidR="00E7540D">
              <w:t>as defined by the Gas Utility Regulatory Act</w:t>
            </w:r>
            <w:r w:rsidR="00C81608">
              <w:t xml:space="preserve"> and including</w:t>
            </w:r>
            <w:r w:rsidRPr="00F03EE9">
              <w:t xml:space="preserve"> a</w:t>
            </w:r>
            <w:r w:rsidR="00E7540D" w:rsidRPr="00E7540D">
              <w:t xml:space="preserve"> municipally owned utility </w:t>
            </w:r>
            <w:r w:rsidR="00E7540D">
              <w:t>as defined by that act</w:t>
            </w:r>
            <w:r>
              <w:t>;</w:t>
            </w:r>
          </w:p>
          <w:p w14:paraId="269A1233" w14:textId="1B8DA390" w:rsidR="00F03EE9" w:rsidRDefault="00A4307C" w:rsidP="0027322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gas utility</w:t>
            </w:r>
            <w:r w:rsidR="00E7540D">
              <w:t>, as defined by statutory provisions relating to</w:t>
            </w:r>
            <w:r>
              <w:t xml:space="preserve"> </w:t>
            </w:r>
            <w:r w:rsidR="00E7540D">
              <w:t>gas</w:t>
            </w:r>
            <w:r w:rsidRPr="00F03EE9">
              <w:t xml:space="preserve"> pipeline</w:t>
            </w:r>
            <w:r w:rsidR="00E7540D">
              <w:t>s</w:t>
            </w:r>
            <w:r>
              <w:t>;</w:t>
            </w:r>
            <w:r w:rsidR="00E7540D">
              <w:t xml:space="preserve"> or</w:t>
            </w:r>
          </w:p>
          <w:p w14:paraId="56AD1192" w14:textId="6595619C" w:rsidR="00F03EE9" w:rsidRDefault="00A4307C" w:rsidP="0027322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pipeline used for the transportation or sale of oil, gas, or related products.</w:t>
            </w:r>
          </w:p>
          <w:p w14:paraId="195E4B99" w14:textId="77777777" w:rsidR="00D52F85" w:rsidRDefault="00D52F85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D687B78" w14:textId="467E954C" w:rsidR="00D52F85" w:rsidRPr="009C36CD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52F85">
              <w:t>C.S.S.B</w:t>
            </w:r>
            <w:r w:rsidR="0079754A">
              <w:t>.</w:t>
            </w:r>
            <w:r w:rsidRPr="00D52F85">
              <w:t xml:space="preserve"> </w:t>
            </w:r>
            <w:r w:rsidR="0032356D">
              <w:t xml:space="preserve">482 </w:t>
            </w:r>
            <w:r w:rsidRPr="00D52F85">
              <w:t>appl</w:t>
            </w:r>
            <w:r>
              <w:t>ies</w:t>
            </w:r>
            <w:r w:rsidRPr="00D52F85">
              <w:t xml:space="preserve"> only to an offense committed on or after the</w:t>
            </w:r>
            <w:r>
              <w:t xml:space="preserve"> bill's</w:t>
            </w:r>
            <w:r w:rsidRPr="00D52F85">
              <w:t xml:space="preserve"> effective date. An offense committed before </w:t>
            </w:r>
            <w:r>
              <w:t>that date</w:t>
            </w:r>
            <w:r w:rsidRPr="00D52F85">
              <w:t xml:space="preserve"> is governed by the law in effect on the date the offense was committed, and the former law is continued in effect for that purpose.</w:t>
            </w:r>
          </w:p>
          <w:p w14:paraId="72DAF728" w14:textId="77777777" w:rsidR="008423E4" w:rsidRPr="00835628" w:rsidRDefault="008423E4" w:rsidP="00273227">
            <w:pPr>
              <w:rPr>
                <w:b/>
              </w:rPr>
            </w:pPr>
          </w:p>
        </w:tc>
      </w:tr>
      <w:tr w:rsidR="00E72737" w14:paraId="6DCCA162" w14:textId="77777777" w:rsidTr="00273227">
        <w:tc>
          <w:tcPr>
            <w:tcW w:w="9360" w:type="dxa"/>
          </w:tcPr>
          <w:p w14:paraId="5FE24BDF" w14:textId="77777777" w:rsidR="008423E4" w:rsidRPr="00A8133F" w:rsidRDefault="00A4307C" w:rsidP="0027322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785A25A" w14:textId="77777777" w:rsidR="008423E4" w:rsidRDefault="008423E4" w:rsidP="00273227"/>
          <w:p w14:paraId="2CB1FF3C" w14:textId="3EEFE5ED" w:rsidR="008423E4" w:rsidRPr="003624F2" w:rsidRDefault="00A4307C" w:rsidP="002732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43995E8A" w14:textId="77777777" w:rsidR="008423E4" w:rsidRPr="00233FDB" w:rsidRDefault="008423E4" w:rsidP="00273227">
            <w:pPr>
              <w:rPr>
                <w:b/>
              </w:rPr>
            </w:pPr>
          </w:p>
        </w:tc>
      </w:tr>
      <w:tr w:rsidR="00E72737" w14:paraId="6BB35C47" w14:textId="77777777" w:rsidTr="00273227">
        <w:tc>
          <w:tcPr>
            <w:tcW w:w="9360" w:type="dxa"/>
          </w:tcPr>
          <w:p w14:paraId="61E90BE2" w14:textId="77777777" w:rsidR="0061597F" w:rsidRDefault="00A4307C" w:rsidP="0027322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14:paraId="725D3085" w14:textId="77777777" w:rsidR="0032356D" w:rsidRDefault="0032356D" w:rsidP="00273227">
            <w:pPr>
              <w:jc w:val="both"/>
            </w:pPr>
          </w:p>
          <w:p w14:paraId="410BA5CE" w14:textId="775A36DF" w:rsidR="0032356D" w:rsidRDefault="00A4307C" w:rsidP="00273227">
            <w:pPr>
              <w:jc w:val="both"/>
            </w:pPr>
            <w:r>
              <w:t>While C.S.S.B. 482 may differ from the engrossed in minor or nonsubstantive</w:t>
            </w:r>
            <w:r>
              <w:t xml:space="preserve"> ways, the following summarizes the substantial differences between the engrossed and committee substitute versions of the bill.</w:t>
            </w:r>
          </w:p>
          <w:p w14:paraId="786AA7E8" w14:textId="77777777" w:rsidR="0032356D" w:rsidRDefault="0032356D" w:rsidP="00273227">
            <w:pPr>
              <w:jc w:val="both"/>
            </w:pPr>
          </w:p>
          <w:p w14:paraId="5CDB680C" w14:textId="77777777" w:rsidR="0032356D" w:rsidRDefault="00A4307C" w:rsidP="00273227">
            <w:pPr>
              <w:jc w:val="both"/>
            </w:pPr>
            <w:r>
              <w:t xml:space="preserve">The substitute includes a provision absent from the engrossed </w:t>
            </w:r>
            <w:r w:rsidRPr="0032356D">
              <w:t xml:space="preserve">establishing that the actor is presumed to have known </w:t>
            </w:r>
            <w:r w:rsidR="00C50E30">
              <w:t xml:space="preserve">that </w:t>
            </w:r>
            <w:r w:rsidRPr="0032356D">
              <w:t>the person assaulted was an employee or agent of a utility if the person was wearing a distinctive uniform or badge indicating the person's employment, agency, or status, as applicable.</w:t>
            </w:r>
          </w:p>
          <w:p w14:paraId="26D24525" w14:textId="47D25B68" w:rsidR="00826282" w:rsidRPr="0032356D" w:rsidRDefault="00826282" w:rsidP="00273227">
            <w:pPr>
              <w:jc w:val="both"/>
            </w:pPr>
          </w:p>
        </w:tc>
      </w:tr>
    </w:tbl>
    <w:p w14:paraId="5E5810DB" w14:textId="77777777" w:rsidR="008423E4" w:rsidRPr="00BE0E75" w:rsidRDefault="008423E4" w:rsidP="00273227">
      <w:pPr>
        <w:jc w:val="both"/>
        <w:rPr>
          <w:rFonts w:ascii="Arial" w:hAnsi="Arial"/>
          <w:sz w:val="16"/>
          <w:szCs w:val="16"/>
        </w:rPr>
      </w:pPr>
    </w:p>
    <w:p w14:paraId="738B7CE5" w14:textId="77777777" w:rsidR="004108C3" w:rsidRPr="008423E4" w:rsidRDefault="004108C3" w:rsidP="0027322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5930" w14:textId="77777777" w:rsidR="00A4307C" w:rsidRDefault="00A4307C">
      <w:r>
        <w:separator/>
      </w:r>
    </w:p>
  </w:endnote>
  <w:endnote w:type="continuationSeparator" w:id="0">
    <w:p w14:paraId="3C9880C4" w14:textId="77777777" w:rsidR="00A4307C" w:rsidRDefault="00A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42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72737" w14:paraId="144063D1" w14:textId="77777777" w:rsidTr="009C1E9A">
      <w:trPr>
        <w:cantSplit/>
      </w:trPr>
      <w:tc>
        <w:tcPr>
          <w:tcW w:w="0" w:type="pct"/>
        </w:tcPr>
        <w:p w14:paraId="291ADCC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695161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07D28A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C8C6BC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20F691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72737" w14:paraId="744EEB53" w14:textId="77777777" w:rsidTr="009C1E9A">
      <w:trPr>
        <w:cantSplit/>
      </w:trPr>
      <w:tc>
        <w:tcPr>
          <w:tcW w:w="0" w:type="pct"/>
        </w:tcPr>
        <w:p w14:paraId="0541FA1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F23B119" w14:textId="55BCA52E" w:rsidR="00EC379B" w:rsidRPr="009C1E9A" w:rsidRDefault="00A4307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27891-D</w:t>
          </w:r>
        </w:p>
      </w:tc>
      <w:tc>
        <w:tcPr>
          <w:tcW w:w="2453" w:type="pct"/>
        </w:tcPr>
        <w:p w14:paraId="274DF223" w14:textId="62E2A1B2" w:rsidR="00EC379B" w:rsidRDefault="00A4307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73227">
            <w:t>25.123.485</w:t>
          </w:r>
          <w:r>
            <w:fldChar w:fldCharType="end"/>
          </w:r>
        </w:p>
      </w:tc>
    </w:tr>
    <w:tr w:rsidR="00E72737" w14:paraId="2F109578" w14:textId="77777777" w:rsidTr="009C1E9A">
      <w:trPr>
        <w:cantSplit/>
      </w:trPr>
      <w:tc>
        <w:tcPr>
          <w:tcW w:w="0" w:type="pct"/>
        </w:tcPr>
        <w:p w14:paraId="12A6BB5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16E2A43" w14:textId="08CA58C8" w:rsidR="00EC379B" w:rsidRPr="009C1E9A" w:rsidRDefault="00A4307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27689</w:t>
          </w:r>
        </w:p>
      </w:tc>
      <w:tc>
        <w:tcPr>
          <w:tcW w:w="2453" w:type="pct"/>
        </w:tcPr>
        <w:p w14:paraId="1A58198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0D7BA3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72737" w14:paraId="52C2EA6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A42F83C" w14:textId="77777777" w:rsidR="00EC379B" w:rsidRDefault="00A4307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639CEE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AA748A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DBAB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AF6C" w14:textId="77777777" w:rsidR="00A4307C" w:rsidRDefault="00A4307C">
      <w:r>
        <w:separator/>
      </w:r>
    </w:p>
  </w:footnote>
  <w:footnote w:type="continuationSeparator" w:id="0">
    <w:p w14:paraId="599DA4FC" w14:textId="77777777" w:rsidR="00A4307C" w:rsidRDefault="00A4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7965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9CB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E386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3CDD"/>
    <w:multiLevelType w:val="hybridMultilevel"/>
    <w:tmpl w:val="4EFC7012"/>
    <w:lvl w:ilvl="0" w:tplc="BE40110C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80000222" w:tentative="1">
      <w:start w:val="1"/>
      <w:numFmt w:val="lowerLetter"/>
      <w:lvlText w:val="%2."/>
      <w:lvlJc w:val="left"/>
      <w:pPr>
        <w:ind w:left="1440" w:hanging="360"/>
      </w:pPr>
    </w:lvl>
    <w:lvl w:ilvl="2" w:tplc="116A511A" w:tentative="1">
      <w:start w:val="1"/>
      <w:numFmt w:val="lowerRoman"/>
      <w:lvlText w:val="%3."/>
      <w:lvlJc w:val="right"/>
      <w:pPr>
        <w:ind w:left="2160" w:hanging="180"/>
      </w:pPr>
    </w:lvl>
    <w:lvl w:ilvl="3" w:tplc="CCA43724" w:tentative="1">
      <w:start w:val="1"/>
      <w:numFmt w:val="decimal"/>
      <w:lvlText w:val="%4."/>
      <w:lvlJc w:val="left"/>
      <w:pPr>
        <w:ind w:left="2880" w:hanging="360"/>
      </w:pPr>
    </w:lvl>
    <w:lvl w:ilvl="4" w:tplc="AE8CA43E" w:tentative="1">
      <w:start w:val="1"/>
      <w:numFmt w:val="lowerLetter"/>
      <w:lvlText w:val="%5."/>
      <w:lvlJc w:val="left"/>
      <w:pPr>
        <w:ind w:left="3600" w:hanging="360"/>
      </w:pPr>
    </w:lvl>
    <w:lvl w:ilvl="5" w:tplc="5FCC6ED8" w:tentative="1">
      <w:start w:val="1"/>
      <w:numFmt w:val="lowerRoman"/>
      <w:lvlText w:val="%6."/>
      <w:lvlJc w:val="right"/>
      <w:pPr>
        <w:ind w:left="4320" w:hanging="180"/>
      </w:pPr>
    </w:lvl>
    <w:lvl w:ilvl="6" w:tplc="E38042FC" w:tentative="1">
      <w:start w:val="1"/>
      <w:numFmt w:val="decimal"/>
      <w:lvlText w:val="%7."/>
      <w:lvlJc w:val="left"/>
      <w:pPr>
        <w:ind w:left="5040" w:hanging="360"/>
      </w:pPr>
    </w:lvl>
    <w:lvl w:ilvl="7" w:tplc="39445194" w:tentative="1">
      <w:start w:val="1"/>
      <w:numFmt w:val="lowerLetter"/>
      <w:lvlText w:val="%8."/>
      <w:lvlJc w:val="left"/>
      <w:pPr>
        <w:ind w:left="5760" w:hanging="360"/>
      </w:pPr>
    </w:lvl>
    <w:lvl w:ilvl="8" w:tplc="35465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13EF"/>
    <w:multiLevelType w:val="hybridMultilevel"/>
    <w:tmpl w:val="D6FC0E22"/>
    <w:lvl w:ilvl="0" w:tplc="A3462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CC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46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C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69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CD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6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9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CD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70598">
    <w:abstractNumId w:val="1"/>
  </w:num>
  <w:num w:numId="2" w16cid:durableId="6283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7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77DFF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67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74A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32E1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227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0B1"/>
    <w:rsid w:val="0032356D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A24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670"/>
    <w:rsid w:val="0051324D"/>
    <w:rsid w:val="00515466"/>
    <w:rsid w:val="005154F7"/>
    <w:rsid w:val="005159DE"/>
    <w:rsid w:val="00524B43"/>
    <w:rsid w:val="005269CE"/>
    <w:rsid w:val="005304B2"/>
    <w:rsid w:val="00532BAF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201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90D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597F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3C05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1F08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54A"/>
    <w:rsid w:val="0079792C"/>
    <w:rsid w:val="007A035C"/>
    <w:rsid w:val="007A0989"/>
    <w:rsid w:val="007A331F"/>
    <w:rsid w:val="007A3844"/>
    <w:rsid w:val="007A4381"/>
    <w:rsid w:val="007A5466"/>
    <w:rsid w:val="007A59B7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7771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282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B55"/>
    <w:rsid w:val="00964E3A"/>
    <w:rsid w:val="00967126"/>
    <w:rsid w:val="00970EAE"/>
    <w:rsid w:val="00971627"/>
    <w:rsid w:val="009717DC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45A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4ABC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07C"/>
    <w:rsid w:val="00A43960"/>
    <w:rsid w:val="00A46902"/>
    <w:rsid w:val="00A50CDB"/>
    <w:rsid w:val="00A5194E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4CA0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03E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5D7E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275E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0E30"/>
    <w:rsid w:val="00C57933"/>
    <w:rsid w:val="00C60206"/>
    <w:rsid w:val="00C615D4"/>
    <w:rsid w:val="00C61B5D"/>
    <w:rsid w:val="00C61C0E"/>
    <w:rsid w:val="00C61C64"/>
    <w:rsid w:val="00C61CDA"/>
    <w:rsid w:val="00C7119C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1608"/>
    <w:rsid w:val="00C82743"/>
    <w:rsid w:val="00C834CE"/>
    <w:rsid w:val="00C9047F"/>
    <w:rsid w:val="00C91F65"/>
    <w:rsid w:val="00C92310"/>
    <w:rsid w:val="00C928F2"/>
    <w:rsid w:val="00C95150"/>
    <w:rsid w:val="00C9542A"/>
    <w:rsid w:val="00C95A73"/>
    <w:rsid w:val="00CA02B0"/>
    <w:rsid w:val="00CA032E"/>
    <w:rsid w:val="00CA1820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4394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1EF5"/>
    <w:rsid w:val="00D22160"/>
    <w:rsid w:val="00D22172"/>
    <w:rsid w:val="00D2301B"/>
    <w:rsid w:val="00D239EE"/>
    <w:rsid w:val="00D30534"/>
    <w:rsid w:val="00D35728"/>
    <w:rsid w:val="00D359A7"/>
    <w:rsid w:val="00D35F60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2F85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C7EB0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2737"/>
    <w:rsid w:val="00E73CCD"/>
    <w:rsid w:val="00E7540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55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6F8D"/>
    <w:rsid w:val="00EF7E26"/>
    <w:rsid w:val="00F01DFA"/>
    <w:rsid w:val="00F02096"/>
    <w:rsid w:val="00F02457"/>
    <w:rsid w:val="00F036C3"/>
    <w:rsid w:val="00F03EE9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49BE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48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4FFC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8E903C-579A-4B4A-A74A-24909F54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110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1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10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1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103E"/>
    <w:rPr>
      <w:b/>
      <w:bCs/>
    </w:rPr>
  </w:style>
  <w:style w:type="paragraph" w:styleId="Revision">
    <w:name w:val="Revision"/>
    <w:hidden/>
    <w:uiPriority w:val="99"/>
    <w:semiHidden/>
    <w:rsid w:val="00C95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3189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SB00482 (Committee Report (Substituted))</vt:lpstr>
    </vt:vector>
  </TitlesOfParts>
  <Company>State of Texas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27891</dc:subject>
  <dc:creator>State of Texas</dc:creator>
  <dc:description>SB 482 by Alvarado-(H)Criminal Jurisprudence (Substitute Document Number: 89R 27689)</dc:description>
  <cp:lastModifiedBy>Damian Duarte</cp:lastModifiedBy>
  <cp:revision>2</cp:revision>
  <cp:lastPrinted>2003-11-26T17:21:00Z</cp:lastPrinted>
  <dcterms:created xsi:type="dcterms:W3CDTF">2025-05-10T17:54:00Z</dcterms:created>
  <dcterms:modified xsi:type="dcterms:W3CDTF">2025-05-10T17:54:00Z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25.123.485</vt:lpwstr>
  </property>
</Properties>
</file>