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971E4" w14:paraId="5F8F7975" w14:textId="77777777" w:rsidTr="00345119">
        <w:tc>
          <w:tcPr>
            <w:tcW w:w="9576" w:type="dxa"/>
            <w:noWrap/>
          </w:tcPr>
          <w:p w14:paraId="60E580EA" w14:textId="77777777" w:rsidR="008423E4" w:rsidRPr="0022177D" w:rsidRDefault="00BF5879" w:rsidP="00204033">
            <w:pPr>
              <w:pStyle w:val="Heading1"/>
            </w:pPr>
            <w:r w:rsidRPr="00631897">
              <w:t>BILL ANALYSIS</w:t>
            </w:r>
          </w:p>
        </w:tc>
      </w:tr>
    </w:tbl>
    <w:p w14:paraId="1E335F4A" w14:textId="77777777" w:rsidR="008423E4" w:rsidRPr="0022177D" w:rsidRDefault="008423E4" w:rsidP="00204033">
      <w:pPr>
        <w:jc w:val="center"/>
      </w:pPr>
    </w:p>
    <w:p w14:paraId="33DB4EEF" w14:textId="77777777" w:rsidR="008423E4" w:rsidRPr="00B31F0E" w:rsidRDefault="008423E4" w:rsidP="00204033"/>
    <w:p w14:paraId="7F6FF160" w14:textId="77777777" w:rsidR="008423E4" w:rsidRPr="00742794" w:rsidRDefault="008423E4" w:rsidP="00204033">
      <w:pPr>
        <w:tabs>
          <w:tab w:val="right" w:pos="9360"/>
        </w:tabs>
      </w:pPr>
    </w:p>
    <w:tbl>
      <w:tblPr>
        <w:tblW w:w="0" w:type="auto"/>
        <w:tblLayout w:type="fixed"/>
        <w:tblLook w:val="01E0" w:firstRow="1" w:lastRow="1" w:firstColumn="1" w:lastColumn="1" w:noHBand="0" w:noVBand="0"/>
      </w:tblPr>
      <w:tblGrid>
        <w:gridCol w:w="9576"/>
      </w:tblGrid>
      <w:tr w:rsidR="006971E4" w14:paraId="05FC32CF" w14:textId="77777777" w:rsidTr="00345119">
        <w:tc>
          <w:tcPr>
            <w:tcW w:w="9576" w:type="dxa"/>
          </w:tcPr>
          <w:p w14:paraId="048BE5D1" w14:textId="1F77B31E" w:rsidR="008423E4" w:rsidRPr="00861995" w:rsidRDefault="00BF5879" w:rsidP="00204033">
            <w:pPr>
              <w:jc w:val="right"/>
            </w:pPr>
            <w:r>
              <w:t>S.B. 494</w:t>
            </w:r>
          </w:p>
        </w:tc>
      </w:tr>
      <w:tr w:rsidR="006971E4" w14:paraId="29AA73FF" w14:textId="77777777" w:rsidTr="00345119">
        <w:tc>
          <w:tcPr>
            <w:tcW w:w="9576" w:type="dxa"/>
          </w:tcPr>
          <w:p w14:paraId="3735E54C" w14:textId="6A511262" w:rsidR="008423E4" w:rsidRPr="00861995" w:rsidRDefault="00BF5879" w:rsidP="00204033">
            <w:pPr>
              <w:jc w:val="right"/>
            </w:pPr>
            <w:r>
              <w:t xml:space="preserve">By: </w:t>
            </w:r>
            <w:r w:rsidR="007A3F8D">
              <w:t>Sparks</w:t>
            </w:r>
          </w:p>
        </w:tc>
      </w:tr>
      <w:tr w:rsidR="006971E4" w14:paraId="6757C813" w14:textId="77777777" w:rsidTr="00345119">
        <w:tc>
          <w:tcPr>
            <w:tcW w:w="9576" w:type="dxa"/>
          </w:tcPr>
          <w:p w14:paraId="0B30B9E2" w14:textId="0D9FE3A7" w:rsidR="008423E4" w:rsidRPr="00861995" w:rsidRDefault="00BF5879" w:rsidP="00204033">
            <w:pPr>
              <w:jc w:val="right"/>
            </w:pPr>
            <w:r>
              <w:t>Energy Resources</w:t>
            </w:r>
          </w:p>
        </w:tc>
      </w:tr>
      <w:tr w:rsidR="006971E4" w14:paraId="714700E3" w14:textId="77777777" w:rsidTr="00345119">
        <w:tc>
          <w:tcPr>
            <w:tcW w:w="9576" w:type="dxa"/>
          </w:tcPr>
          <w:p w14:paraId="2DA36ADA" w14:textId="722A21F8" w:rsidR="008423E4" w:rsidRDefault="00BF5879" w:rsidP="00204033">
            <w:pPr>
              <w:jc w:val="right"/>
            </w:pPr>
            <w:r>
              <w:t>Committee Report (Unamended)</w:t>
            </w:r>
          </w:p>
        </w:tc>
      </w:tr>
    </w:tbl>
    <w:p w14:paraId="4BFA008C" w14:textId="77777777" w:rsidR="008423E4" w:rsidRDefault="008423E4" w:rsidP="00204033">
      <w:pPr>
        <w:tabs>
          <w:tab w:val="right" w:pos="9360"/>
        </w:tabs>
      </w:pPr>
    </w:p>
    <w:p w14:paraId="50F3CCE8" w14:textId="77777777" w:rsidR="008423E4" w:rsidRDefault="008423E4" w:rsidP="00204033"/>
    <w:p w14:paraId="3408B626" w14:textId="77777777" w:rsidR="008423E4" w:rsidRDefault="008423E4" w:rsidP="00204033"/>
    <w:tbl>
      <w:tblPr>
        <w:tblW w:w="0" w:type="auto"/>
        <w:tblCellMar>
          <w:left w:w="115" w:type="dxa"/>
          <w:right w:w="115" w:type="dxa"/>
        </w:tblCellMar>
        <w:tblLook w:val="01E0" w:firstRow="1" w:lastRow="1" w:firstColumn="1" w:lastColumn="1" w:noHBand="0" w:noVBand="0"/>
      </w:tblPr>
      <w:tblGrid>
        <w:gridCol w:w="9360"/>
      </w:tblGrid>
      <w:tr w:rsidR="006971E4" w14:paraId="55052DA9" w14:textId="77777777" w:rsidTr="00345119">
        <w:tc>
          <w:tcPr>
            <w:tcW w:w="9576" w:type="dxa"/>
          </w:tcPr>
          <w:p w14:paraId="4D40AFCA" w14:textId="77777777" w:rsidR="008423E4" w:rsidRPr="00A8133F" w:rsidRDefault="00BF5879" w:rsidP="00204033">
            <w:pPr>
              <w:rPr>
                <w:b/>
              </w:rPr>
            </w:pPr>
            <w:r w:rsidRPr="009C1E9A">
              <w:rPr>
                <w:b/>
                <w:u w:val="single"/>
              </w:rPr>
              <w:t>BACKGROUND AND PURPOSE</w:t>
            </w:r>
            <w:r>
              <w:rPr>
                <w:b/>
              </w:rPr>
              <w:t xml:space="preserve"> </w:t>
            </w:r>
          </w:p>
          <w:p w14:paraId="45A4A602" w14:textId="77777777" w:rsidR="008423E4" w:rsidRDefault="008423E4" w:rsidP="00204033"/>
          <w:p w14:paraId="58817B75" w14:textId="5471A707" w:rsidR="008423E4" w:rsidRDefault="00BF5879" w:rsidP="00204033">
            <w:pPr>
              <w:pStyle w:val="Header"/>
              <w:tabs>
                <w:tab w:val="clear" w:pos="4320"/>
                <w:tab w:val="clear" w:pos="8640"/>
              </w:tabs>
              <w:jc w:val="both"/>
            </w:pPr>
            <w:r>
              <w:t>In 2017, t</w:t>
            </w:r>
            <w:r w:rsidR="0074799E" w:rsidRPr="0074799E">
              <w:t xml:space="preserve">he 85th </w:t>
            </w:r>
            <w:r>
              <w:t xml:space="preserve">Texas </w:t>
            </w:r>
            <w:r w:rsidR="0074799E" w:rsidRPr="0074799E">
              <w:t xml:space="preserve">Legislature passed S.B. 1871, which created </w:t>
            </w:r>
            <w:r w:rsidR="004E105D">
              <w:t>the</w:t>
            </w:r>
            <w:r w:rsidR="0074799E" w:rsidRPr="0074799E">
              <w:t xml:space="preserve"> felony offense </w:t>
            </w:r>
            <w:r w:rsidR="004E105D">
              <w:t>of</w:t>
            </w:r>
            <w:r>
              <w:t xml:space="preserve"> </w:t>
            </w:r>
            <w:r w:rsidR="0074799E" w:rsidRPr="0074799E">
              <w:t xml:space="preserve">theft of </w:t>
            </w:r>
            <w:r w:rsidR="004E105D">
              <w:t xml:space="preserve">a </w:t>
            </w:r>
            <w:r w:rsidR="0074799E" w:rsidRPr="0074799E">
              <w:t xml:space="preserve">petroleum product. </w:t>
            </w:r>
            <w:r w:rsidR="003B0243">
              <w:t xml:space="preserve">As a result of </w:t>
            </w:r>
            <w:r w:rsidR="0074799E" w:rsidRPr="0074799E">
              <w:t xml:space="preserve">that legislation, a person </w:t>
            </w:r>
            <w:r w:rsidR="00434567">
              <w:t>can</w:t>
            </w:r>
            <w:r>
              <w:t xml:space="preserve"> </w:t>
            </w:r>
            <w:r w:rsidR="003B0243">
              <w:t xml:space="preserve">be </w:t>
            </w:r>
            <w:r>
              <w:t xml:space="preserve">prosecuted for </w:t>
            </w:r>
            <w:r w:rsidR="0074799E" w:rsidRPr="0074799E">
              <w:t>unlawfully appropriat</w:t>
            </w:r>
            <w:r>
              <w:t>ing</w:t>
            </w:r>
            <w:r w:rsidR="0074799E" w:rsidRPr="0074799E">
              <w:t xml:space="preserve"> petroleum products with the intent to deprive the owner</w:t>
            </w:r>
            <w:r w:rsidR="0057226B">
              <w:t xml:space="preserve"> of the product</w:t>
            </w:r>
            <w:r w:rsidR="0074799E" w:rsidRPr="0074799E">
              <w:t xml:space="preserve">, including </w:t>
            </w:r>
            <w:r w:rsidR="0057226B">
              <w:t xml:space="preserve">by </w:t>
            </w:r>
            <w:r w:rsidR="0074799E" w:rsidRPr="0074799E">
              <w:t xml:space="preserve">tampering with pipelines or tanks used </w:t>
            </w:r>
            <w:r w:rsidR="0057226B">
              <w:t>to</w:t>
            </w:r>
            <w:r w:rsidR="0057226B" w:rsidRPr="0074799E">
              <w:t xml:space="preserve"> stor</w:t>
            </w:r>
            <w:r w:rsidR="0057226B">
              <w:t>e</w:t>
            </w:r>
            <w:r w:rsidR="0057226B" w:rsidRPr="0074799E">
              <w:t xml:space="preserve"> </w:t>
            </w:r>
            <w:r w:rsidR="0074799E" w:rsidRPr="0074799E">
              <w:t>or transport</w:t>
            </w:r>
            <w:r w:rsidR="004E286E">
              <w:t xml:space="preserve"> such products</w:t>
            </w:r>
            <w:r w:rsidR="0074799E" w:rsidRPr="0074799E">
              <w:t xml:space="preserve">. </w:t>
            </w:r>
            <w:r w:rsidR="004E286E">
              <w:t xml:space="preserve">The bill </w:t>
            </w:r>
            <w:r w:rsidR="00ED6AB7">
              <w:t xml:space="preserve">sponsor </w:t>
            </w:r>
            <w:r w:rsidR="004E286E">
              <w:t xml:space="preserve">has informed the committee that </w:t>
            </w:r>
            <w:r w:rsidR="0074799E" w:rsidRPr="0074799E">
              <w:t xml:space="preserve">organized criminal activity continues to </w:t>
            </w:r>
            <w:r w:rsidR="0057226B">
              <w:t>increase</w:t>
            </w:r>
            <w:r w:rsidR="0057226B" w:rsidRPr="0074799E">
              <w:t xml:space="preserve"> </w:t>
            </w:r>
            <w:r w:rsidR="004E286E">
              <w:t>and that i</w:t>
            </w:r>
            <w:r w:rsidR="0074799E" w:rsidRPr="0074799E">
              <w:t xml:space="preserve">ndustry stakeholders have noted that thieves engaged in organized theft </w:t>
            </w:r>
            <w:r w:rsidR="004E286E">
              <w:t xml:space="preserve">of petroleum products </w:t>
            </w:r>
            <w:r w:rsidR="0074799E" w:rsidRPr="0074799E">
              <w:t xml:space="preserve">often operate across multiple jurisdictions, </w:t>
            </w:r>
            <w:r w:rsidR="004E286E">
              <w:t xml:space="preserve">which </w:t>
            </w:r>
            <w:r w:rsidR="0074799E" w:rsidRPr="0074799E">
              <w:t>complicat</w:t>
            </w:r>
            <w:r w:rsidR="004E286E">
              <w:t>es</w:t>
            </w:r>
            <w:r w:rsidR="0074799E" w:rsidRPr="0074799E">
              <w:t xml:space="preserve"> efforts to apprehend and charge them due to a lack of coordination between </w:t>
            </w:r>
            <w:r w:rsidR="004E286E">
              <w:t xml:space="preserve">law enforcement </w:t>
            </w:r>
            <w:r w:rsidR="0074799E" w:rsidRPr="0074799E">
              <w:t xml:space="preserve">authorities. </w:t>
            </w:r>
            <w:r w:rsidR="005C74DF" w:rsidRPr="005C74DF">
              <w:t xml:space="preserve">S.B. 494 </w:t>
            </w:r>
            <w:r w:rsidR="004E286E">
              <w:t xml:space="preserve">seeks to address this </w:t>
            </w:r>
            <w:r w:rsidR="001F6FE1">
              <w:t xml:space="preserve">growing </w:t>
            </w:r>
            <w:r w:rsidR="004E286E">
              <w:t xml:space="preserve">issue by </w:t>
            </w:r>
            <w:r w:rsidR="0074799E" w:rsidRPr="0074799E">
              <w:t>requir</w:t>
            </w:r>
            <w:r w:rsidR="004E286E">
              <w:t>ing</w:t>
            </w:r>
            <w:r w:rsidR="0074799E" w:rsidRPr="0074799E">
              <w:t xml:space="preserve"> the Railroad Commission of Texas to establish a statewide task force to </w:t>
            </w:r>
            <w:r w:rsidR="0057226B">
              <w:t>study</w:t>
            </w:r>
            <w:r w:rsidR="0057226B" w:rsidRPr="0074799E">
              <w:t xml:space="preserve"> </w:t>
            </w:r>
            <w:r w:rsidR="0074799E" w:rsidRPr="0074799E">
              <w:t xml:space="preserve">theft </w:t>
            </w:r>
            <w:r w:rsidR="004E286E">
              <w:t xml:space="preserve">of petroleum products </w:t>
            </w:r>
            <w:r w:rsidR="001F6FE1">
              <w:t xml:space="preserve">and </w:t>
            </w:r>
            <w:r w:rsidR="0057226B">
              <w:t xml:space="preserve">analyze the </w:t>
            </w:r>
            <w:r w:rsidR="001F6FE1">
              <w:t xml:space="preserve">impacts </w:t>
            </w:r>
            <w:r w:rsidR="0057226B">
              <w:t xml:space="preserve">of that theft </w:t>
            </w:r>
            <w:r w:rsidR="0074799E" w:rsidRPr="0074799E">
              <w:t xml:space="preserve">and </w:t>
            </w:r>
            <w:r w:rsidR="001F6FE1">
              <w:t xml:space="preserve">make </w:t>
            </w:r>
            <w:r w:rsidR="0074799E" w:rsidRPr="0074799E">
              <w:t>recommend</w:t>
            </w:r>
            <w:r w:rsidR="001F6FE1">
              <w:t>ations, including</w:t>
            </w:r>
            <w:r w:rsidR="0057226B">
              <w:t xml:space="preserve"> related</w:t>
            </w:r>
            <w:r w:rsidR="001F6FE1">
              <w:t xml:space="preserve"> outreach and prevention programs and training for law enforcement officers</w:t>
            </w:r>
            <w:r w:rsidR="0074799E" w:rsidRPr="0074799E">
              <w:t xml:space="preserve">. </w:t>
            </w:r>
          </w:p>
          <w:p w14:paraId="7A6A2472" w14:textId="77777777" w:rsidR="008423E4" w:rsidRPr="00E26B13" w:rsidRDefault="008423E4" w:rsidP="00204033">
            <w:pPr>
              <w:rPr>
                <w:b/>
              </w:rPr>
            </w:pPr>
          </w:p>
        </w:tc>
      </w:tr>
      <w:tr w:rsidR="006971E4" w14:paraId="114A7899" w14:textId="77777777" w:rsidTr="00345119">
        <w:tc>
          <w:tcPr>
            <w:tcW w:w="9576" w:type="dxa"/>
          </w:tcPr>
          <w:p w14:paraId="42B59D29" w14:textId="77777777" w:rsidR="0017725B" w:rsidRDefault="00BF5879" w:rsidP="00204033">
            <w:pPr>
              <w:rPr>
                <w:b/>
                <w:u w:val="single"/>
              </w:rPr>
            </w:pPr>
            <w:r>
              <w:rPr>
                <w:b/>
                <w:u w:val="single"/>
              </w:rPr>
              <w:t>CRIMINAL JUSTICE IMPACT</w:t>
            </w:r>
          </w:p>
          <w:p w14:paraId="4C5B15E5" w14:textId="77777777" w:rsidR="0017725B" w:rsidRDefault="0017725B" w:rsidP="00204033">
            <w:pPr>
              <w:rPr>
                <w:b/>
                <w:u w:val="single"/>
              </w:rPr>
            </w:pPr>
          </w:p>
          <w:p w14:paraId="24A5650C" w14:textId="782253C0" w:rsidR="00D83CE5" w:rsidRPr="00D83CE5" w:rsidRDefault="00BF5879" w:rsidP="00204033">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594398D1" w14:textId="77777777" w:rsidR="0017725B" w:rsidRPr="0017725B" w:rsidRDefault="0017725B" w:rsidP="00204033">
            <w:pPr>
              <w:rPr>
                <w:b/>
                <w:u w:val="single"/>
              </w:rPr>
            </w:pPr>
          </w:p>
        </w:tc>
      </w:tr>
      <w:tr w:rsidR="006971E4" w14:paraId="21095357" w14:textId="77777777" w:rsidTr="00345119">
        <w:tc>
          <w:tcPr>
            <w:tcW w:w="9576" w:type="dxa"/>
          </w:tcPr>
          <w:p w14:paraId="710143EB" w14:textId="77777777" w:rsidR="008423E4" w:rsidRPr="00A8133F" w:rsidRDefault="00BF5879" w:rsidP="00204033">
            <w:pPr>
              <w:rPr>
                <w:b/>
              </w:rPr>
            </w:pPr>
            <w:r w:rsidRPr="009C1E9A">
              <w:rPr>
                <w:b/>
                <w:u w:val="single"/>
              </w:rPr>
              <w:t>RULEMAKING AUTHORITY</w:t>
            </w:r>
            <w:r>
              <w:rPr>
                <w:b/>
              </w:rPr>
              <w:t xml:space="preserve"> </w:t>
            </w:r>
          </w:p>
          <w:p w14:paraId="5897935E" w14:textId="77777777" w:rsidR="008423E4" w:rsidRDefault="008423E4" w:rsidP="00204033"/>
          <w:p w14:paraId="718761C3" w14:textId="71BE63FB" w:rsidR="00D83CE5" w:rsidRDefault="00BF5879" w:rsidP="00204033">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19605E2B" w14:textId="77777777" w:rsidR="008423E4" w:rsidRPr="00E21FDC" w:rsidRDefault="008423E4" w:rsidP="00204033">
            <w:pPr>
              <w:rPr>
                <w:b/>
              </w:rPr>
            </w:pPr>
          </w:p>
        </w:tc>
      </w:tr>
      <w:tr w:rsidR="006971E4" w14:paraId="345200C0" w14:textId="77777777" w:rsidTr="00345119">
        <w:tc>
          <w:tcPr>
            <w:tcW w:w="9576" w:type="dxa"/>
          </w:tcPr>
          <w:p w14:paraId="7DCF0186" w14:textId="77777777" w:rsidR="008423E4" w:rsidRPr="00A8133F" w:rsidRDefault="00BF5879" w:rsidP="00204033">
            <w:pPr>
              <w:rPr>
                <w:b/>
              </w:rPr>
            </w:pPr>
            <w:r w:rsidRPr="009C1E9A">
              <w:rPr>
                <w:b/>
                <w:u w:val="single"/>
              </w:rPr>
              <w:t>ANALYSIS</w:t>
            </w:r>
            <w:r>
              <w:rPr>
                <w:b/>
              </w:rPr>
              <w:t xml:space="preserve"> </w:t>
            </w:r>
          </w:p>
          <w:p w14:paraId="097A787B" w14:textId="77777777" w:rsidR="008423E4" w:rsidRDefault="008423E4" w:rsidP="00204033"/>
          <w:p w14:paraId="77F2150C" w14:textId="27218DB6" w:rsidR="005C0DB2" w:rsidRDefault="00BF5879" w:rsidP="00204033">
            <w:pPr>
              <w:pStyle w:val="Header"/>
              <w:jc w:val="both"/>
            </w:pPr>
            <w:r>
              <w:t>S.B. 494</w:t>
            </w:r>
            <w:r w:rsidR="00D800C9">
              <w:t xml:space="preserve"> requires the Railroad Commission of Texas (RRC) to appoint a task force </w:t>
            </w:r>
            <w:r w:rsidR="003653E0">
              <w:t xml:space="preserve">as soon as practicable after the bill's effective date </w:t>
            </w:r>
            <w:r w:rsidR="00D800C9">
              <w:t xml:space="preserve">to </w:t>
            </w:r>
            <w:r w:rsidR="00867088">
              <w:t xml:space="preserve">conduct a </w:t>
            </w:r>
            <w:r w:rsidR="00D800C9">
              <w:t xml:space="preserve">study and make recommendations related to preventing the theft of petroleum products in </w:t>
            </w:r>
            <w:r w:rsidR="00AE2414">
              <w:t>Texas</w:t>
            </w:r>
            <w:r w:rsidR="00D800C9">
              <w:t xml:space="preserve">. The bill requires the task force to </w:t>
            </w:r>
            <w:r w:rsidR="00AE2414">
              <w:t xml:space="preserve">include </w:t>
            </w:r>
            <w:r w:rsidR="00D800C9">
              <w:t>at least one representative from the oil and gas industry</w:t>
            </w:r>
            <w:r w:rsidR="00FD75EF">
              <w:t>,</w:t>
            </w:r>
            <w:r w:rsidR="00AE2414">
              <w:t xml:space="preserve"> </w:t>
            </w:r>
            <w:r w:rsidR="00D800C9">
              <w:t>at least one representative from an energy trade association</w:t>
            </w:r>
            <w:r w:rsidR="00FD75EF">
              <w:t>,</w:t>
            </w:r>
            <w:r w:rsidR="00D800C9">
              <w:t xml:space="preserve"> and</w:t>
            </w:r>
            <w:r w:rsidR="00AE2414">
              <w:t xml:space="preserve"> </w:t>
            </w:r>
            <w:r w:rsidR="00D800C9">
              <w:t>representatives from local, state, and federal law enforcement agencies.</w:t>
            </w:r>
            <w:r w:rsidR="00AE2414">
              <w:t xml:space="preserve"> The bill requires the RRC to </w:t>
            </w:r>
            <w:r w:rsidR="00D800C9">
              <w:t>designate a member of the task force as the presiding officer</w:t>
            </w:r>
            <w:r w:rsidR="00AE2414">
              <w:t xml:space="preserve"> and requires the task force to </w:t>
            </w:r>
            <w:r w:rsidR="00AE2414" w:rsidRPr="00AE2414">
              <w:t>meet at least quarterly at the call of the presiding officer</w:t>
            </w:r>
            <w:r w:rsidR="00AE2414">
              <w:t>.</w:t>
            </w:r>
            <w:r w:rsidR="0012395A">
              <w:t xml:space="preserve"> A task force meeting may be conducted virtually.</w:t>
            </w:r>
            <w:r w:rsidR="00867088">
              <w:t xml:space="preserve"> </w:t>
            </w:r>
          </w:p>
          <w:p w14:paraId="5F6F4DAF" w14:textId="77777777" w:rsidR="005C0DB2" w:rsidRDefault="005C0DB2" w:rsidP="00204033">
            <w:pPr>
              <w:pStyle w:val="Header"/>
              <w:jc w:val="both"/>
            </w:pPr>
          </w:p>
          <w:p w14:paraId="3A6CB178" w14:textId="4D46549C" w:rsidR="009C36CD" w:rsidRDefault="00BF5879" w:rsidP="00204033">
            <w:pPr>
              <w:pStyle w:val="Header"/>
              <w:jc w:val="both"/>
            </w:pPr>
            <w:r w:rsidRPr="005C74DF">
              <w:t xml:space="preserve">S.B. 494 </w:t>
            </w:r>
            <w:r w:rsidR="00867088">
              <w:t>requires the task force to do the following in conducting the study:</w:t>
            </w:r>
          </w:p>
          <w:p w14:paraId="46CF0EA5" w14:textId="56E8FC57" w:rsidR="00867088" w:rsidRDefault="00BF5879" w:rsidP="00204033">
            <w:pPr>
              <w:pStyle w:val="Header"/>
              <w:numPr>
                <w:ilvl w:val="0"/>
                <w:numId w:val="1"/>
              </w:numPr>
              <w:jc w:val="both"/>
            </w:pPr>
            <w:r>
              <w:t>review laws and regulations addressing the theft of petroleum products in other jurisdictions, including international political and economic organizations;</w:t>
            </w:r>
          </w:p>
          <w:p w14:paraId="4B8F8CC8" w14:textId="2683E463" w:rsidR="00867088" w:rsidRDefault="00BF5879" w:rsidP="00204033">
            <w:pPr>
              <w:pStyle w:val="Header"/>
              <w:numPr>
                <w:ilvl w:val="0"/>
                <w:numId w:val="1"/>
              </w:numPr>
              <w:jc w:val="both"/>
            </w:pPr>
            <w:r>
              <w:t>analyze the impact of the theft of petroleum products on the collection of sales tax, the long-term economic impacts of the theft of petroleum products, and the advantages and disadvantages of taking various actions to reduce the theft of petroleum products; and</w:t>
            </w:r>
          </w:p>
          <w:p w14:paraId="18C27A9A" w14:textId="5C1FF63A" w:rsidR="00867088" w:rsidRDefault="00BF5879" w:rsidP="00204033">
            <w:pPr>
              <w:pStyle w:val="Header"/>
              <w:numPr>
                <w:ilvl w:val="0"/>
                <w:numId w:val="1"/>
              </w:numPr>
              <w:jc w:val="both"/>
            </w:pPr>
            <w:r>
              <w:t>make recommendations regarding:</w:t>
            </w:r>
          </w:p>
          <w:p w14:paraId="538C3D55" w14:textId="47F6D471" w:rsidR="00867088" w:rsidRDefault="00BF5879" w:rsidP="00204033">
            <w:pPr>
              <w:pStyle w:val="Header"/>
              <w:numPr>
                <w:ilvl w:val="1"/>
                <w:numId w:val="1"/>
              </w:numPr>
              <w:jc w:val="both"/>
            </w:pPr>
            <w:r>
              <w:t>theft of petroleum product outreach and prevention programs, including coordination among stakeholders, including local, state, and federal law enforcement agencies; and</w:t>
            </w:r>
          </w:p>
          <w:p w14:paraId="227E78BA" w14:textId="6340C28C" w:rsidR="00867088" w:rsidRDefault="00BF5879" w:rsidP="00204033">
            <w:pPr>
              <w:pStyle w:val="Header"/>
              <w:numPr>
                <w:ilvl w:val="1"/>
                <w:numId w:val="1"/>
              </w:numPr>
              <w:jc w:val="both"/>
            </w:pPr>
            <w:r>
              <w:t>training for law enforcement officers and prosecutors on effective strategies for combating the theft of petroleum products.</w:t>
            </w:r>
          </w:p>
          <w:p w14:paraId="539ABDD0" w14:textId="7BC4E876" w:rsidR="005C0DB2" w:rsidRDefault="00BF5879" w:rsidP="00204033">
            <w:pPr>
              <w:pStyle w:val="Header"/>
              <w:jc w:val="both"/>
            </w:pPr>
            <w:r>
              <w:t>The bill</w:t>
            </w:r>
            <w:r w:rsidR="00867088">
              <w:t xml:space="preserve"> authorizes the members of the task force</w:t>
            </w:r>
            <w:r>
              <w:t>, in conducting the study,</w:t>
            </w:r>
            <w:r w:rsidR="00867088">
              <w:t xml:space="preserve"> to consult with any organization, governmental entity, or person the task force considers necessary and to collaborate and share information relating to an active criminal investigation with one another regardless of whether the information would otherwise be confidential and </w:t>
            </w:r>
            <w:r>
              <w:t xml:space="preserve">exempt from </w:t>
            </w:r>
            <w:r w:rsidR="00867088">
              <w:t xml:space="preserve">disclosure under state public information law. </w:t>
            </w:r>
          </w:p>
          <w:p w14:paraId="39DA575F" w14:textId="77777777" w:rsidR="005C0DB2" w:rsidRDefault="005C0DB2" w:rsidP="00204033">
            <w:pPr>
              <w:pStyle w:val="Header"/>
              <w:jc w:val="both"/>
            </w:pPr>
          </w:p>
          <w:p w14:paraId="4A4F2708" w14:textId="1E28C82E" w:rsidR="00D83CE5" w:rsidRDefault="00BF5879" w:rsidP="00204033">
            <w:pPr>
              <w:pStyle w:val="Header"/>
              <w:jc w:val="both"/>
            </w:pPr>
            <w:r w:rsidRPr="005C74DF">
              <w:t xml:space="preserve">S.B. 494 </w:t>
            </w:r>
            <w:r w:rsidR="00867088">
              <w:t xml:space="preserve">requires the task force, not later than December 1 of each even-numbered year, to </w:t>
            </w:r>
            <w:r w:rsidR="00867088" w:rsidRPr="00867088">
              <w:t xml:space="preserve">prepare and submit a report of the study to the governor, the lieutenant governor, the speaker of the house of representatives, the </w:t>
            </w:r>
            <w:r w:rsidR="00867088">
              <w:t>RRC</w:t>
            </w:r>
            <w:r w:rsidR="00867088" w:rsidRPr="00867088">
              <w:t>, and each standing committee of the legislature with primary jurisdiction over oil and gas matters.</w:t>
            </w:r>
            <w:r w:rsidR="00867088">
              <w:t xml:space="preserve"> The report must include </w:t>
            </w:r>
            <w:r w:rsidR="00867088" w:rsidRPr="00867088">
              <w:t>legislative and other recommendations to increase transparency, improve security, enhance consumer protections, prevent the theft of petroleum products, and address the long-term economic impact of the theft of petroleum products</w:t>
            </w:r>
            <w:r w:rsidR="00867088">
              <w:t>.</w:t>
            </w:r>
            <w:r w:rsidR="007F7F8A">
              <w:t xml:space="preserve"> </w:t>
            </w:r>
            <w:r w:rsidR="0053299A">
              <w:t xml:space="preserve">The report may be submitted electronically. </w:t>
            </w:r>
          </w:p>
          <w:p w14:paraId="65E56D17" w14:textId="77777777" w:rsidR="00D83CE5" w:rsidRDefault="00D83CE5" w:rsidP="00204033">
            <w:pPr>
              <w:pStyle w:val="Header"/>
              <w:jc w:val="both"/>
            </w:pPr>
          </w:p>
          <w:p w14:paraId="638FD066" w14:textId="1D944895" w:rsidR="007F7F8A" w:rsidRPr="009C36CD" w:rsidRDefault="00BF5879" w:rsidP="00204033">
            <w:pPr>
              <w:pStyle w:val="Header"/>
              <w:jc w:val="both"/>
            </w:pPr>
            <w:r w:rsidRPr="005C74DF">
              <w:t xml:space="preserve">S.B. 494 </w:t>
            </w:r>
            <w:r w:rsidR="0053299A">
              <w:t xml:space="preserve">makes </w:t>
            </w:r>
            <w:r w:rsidR="00D83CE5">
              <w:t xml:space="preserve">Government Code provisions relating to state agency advisory committees </w:t>
            </w:r>
            <w:r w:rsidR="0053299A">
              <w:t xml:space="preserve">inapplicable </w:t>
            </w:r>
            <w:r w:rsidR="00D83CE5">
              <w:t xml:space="preserve">to the duration of the task force or to the designation of the task force's presiding officer. </w:t>
            </w:r>
            <w:r>
              <w:t>The bill's provisions expire December 31, 2030.</w:t>
            </w:r>
          </w:p>
          <w:p w14:paraId="76E11791" w14:textId="77777777" w:rsidR="008423E4" w:rsidRPr="00835628" w:rsidRDefault="008423E4" w:rsidP="00204033">
            <w:pPr>
              <w:rPr>
                <w:b/>
              </w:rPr>
            </w:pPr>
          </w:p>
        </w:tc>
      </w:tr>
      <w:tr w:rsidR="006971E4" w14:paraId="5B54960F" w14:textId="77777777" w:rsidTr="00345119">
        <w:tc>
          <w:tcPr>
            <w:tcW w:w="9576" w:type="dxa"/>
          </w:tcPr>
          <w:p w14:paraId="48F38EF4" w14:textId="77777777" w:rsidR="008423E4" w:rsidRPr="00A8133F" w:rsidRDefault="00BF5879" w:rsidP="00204033">
            <w:pPr>
              <w:rPr>
                <w:b/>
              </w:rPr>
            </w:pPr>
            <w:r w:rsidRPr="009C1E9A">
              <w:rPr>
                <w:b/>
                <w:u w:val="single"/>
              </w:rPr>
              <w:t>EFFECTIVE DATE</w:t>
            </w:r>
            <w:r>
              <w:rPr>
                <w:b/>
              </w:rPr>
              <w:t xml:space="preserve"> </w:t>
            </w:r>
          </w:p>
          <w:p w14:paraId="42C0123D" w14:textId="77777777" w:rsidR="008423E4" w:rsidRDefault="008423E4" w:rsidP="00204033"/>
          <w:p w14:paraId="5D8881B4" w14:textId="19AE0FFE" w:rsidR="008423E4" w:rsidRPr="003624F2" w:rsidRDefault="00BF5879" w:rsidP="00204033">
            <w:pPr>
              <w:pStyle w:val="Header"/>
              <w:tabs>
                <w:tab w:val="clear" w:pos="4320"/>
                <w:tab w:val="clear" w:pos="8640"/>
              </w:tabs>
              <w:jc w:val="both"/>
            </w:pPr>
            <w:r>
              <w:t>September 1, 2025.</w:t>
            </w:r>
          </w:p>
          <w:p w14:paraId="58E4C489" w14:textId="77777777" w:rsidR="008423E4" w:rsidRPr="00233FDB" w:rsidRDefault="008423E4" w:rsidP="00204033">
            <w:pPr>
              <w:rPr>
                <w:b/>
              </w:rPr>
            </w:pPr>
          </w:p>
        </w:tc>
      </w:tr>
    </w:tbl>
    <w:p w14:paraId="570D9291" w14:textId="77777777" w:rsidR="008423E4" w:rsidRPr="00BE0E75" w:rsidRDefault="008423E4" w:rsidP="00204033">
      <w:pPr>
        <w:jc w:val="both"/>
        <w:rPr>
          <w:rFonts w:ascii="Arial" w:hAnsi="Arial"/>
          <w:sz w:val="16"/>
          <w:szCs w:val="16"/>
        </w:rPr>
      </w:pPr>
    </w:p>
    <w:p w14:paraId="3EBCABB4" w14:textId="77777777" w:rsidR="004108C3" w:rsidRPr="008423E4" w:rsidRDefault="004108C3" w:rsidP="0020403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27CF8" w14:textId="77777777" w:rsidR="00BF5879" w:rsidRDefault="00BF5879">
      <w:r>
        <w:separator/>
      </w:r>
    </w:p>
  </w:endnote>
  <w:endnote w:type="continuationSeparator" w:id="0">
    <w:p w14:paraId="513BDDF1" w14:textId="77777777" w:rsidR="00BF5879" w:rsidRDefault="00BF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FEA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971E4" w14:paraId="745516C4" w14:textId="77777777" w:rsidTr="009C1E9A">
      <w:trPr>
        <w:cantSplit/>
      </w:trPr>
      <w:tc>
        <w:tcPr>
          <w:tcW w:w="0" w:type="pct"/>
        </w:tcPr>
        <w:p w14:paraId="512F70A4" w14:textId="77777777" w:rsidR="00137D90" w:rsidRDefault="00137D90" w:rsidP="009C1E9A">
          <w:pPr>
            <w:pStyle w:val="Footer"/>
            <w:tabs>
              <w:tab w:val="clear" w:pos="8640"/>
              <w:tab w:val="right" w:pos="9360"/>
            </w:tabs>
          </w:pPr>
        </w:p>
      </w:tc>
      <w:tc>
        <w:tcPr>
          <w:tcW w:w="2395" w:type="pct"/>
        </w:tcPr>
        <w:p w14:paraId="24011AB9" w14:textId="77777777" w:rsidR="00137D90" w:rsidRDefault="00137D90" w:rsidP="009C1E9A">
          <w:pPr>
            <w:pStyle w:val="Footer"/>
            <w:tabs>
              <w:tab w:val="clear" w:pos="8640"/>
              <w:tab w:val="right" w:pos="9360"/>
            </w:tabs>
          </w:pPr>
        </w:p>
        <w:p w14:paraId="596AE833" w14:textId="77777777" w:rsidR="001A4310" w:rsidRDefault="001A4310" w:rsidP="009C1E9A">
          <w:pPr>
            <w:pStyle w:val="Footer"/>
            <w:tabs>
              <w:tab w:val="clear" w:pos="8640"/>
              <w:tab w:val="right" w:pos="9360"/>
            </w:tabs>
          </w:pPr>
        </w:p>
        <w:p w14:paraId="755AC0D2" w14:textId="77777777" w:rsidR="00137D90" w:rsidRDefault="00137D90" w:rsidP="009C1E9A">
          <w:pPr>
            <w:pStyle w:val="Footer"/>
            <w:tabs>
              <w:tab w:val="clear" w:pos="8640"/>
              <w:tab w:val="right" w:pos="9360"/>
            </w:tabs>
          </w:pPr>
        </w:p>
      </w:tc>
      <w:tc>
        <w:tcPr>
          <w:tcW w:w="2453" w:type="pct"/>
        </w:tcPr>
        <w:p w14:paraId="35A41F64" w14:textId="77777777" w:rsidR="00137D90" w:rsidRDefault="00137D90" w:rsidP="009C1E9A">
          <w:pPr>
            <w:pStyle w:val="Footer"/>
            <w:tabs>
              <w:tab w:val="clear" w:pos="8640"/>
              <w:tab w:val="right" w:pos="9360"/>
            </w:tabs>
            <w:jc w:val="right"/>
          </w:pPr>
        </w:p>
      </w:tc>
    </w:tr>
    <w:tr w:rsidR="006971E4" w14:paraId="2242EFA6" w14:textId="77777777" w:rsidTr="009C1E9A">
      <w:trPr>
        <w:cantSplit/>
      </w:trPr>
      <w:tc>
        <w:tcPr>
          <w:tcW w:w="0" w:type="pct"/>
        </w:tcPr>
        <w:p w14:paraId="7F575C6E" w14:textId="77777777" w:rsidR="00EC379B" w:rsidRDefault="00EC379B" w:rsidP="009C1E9A">
          <w:pPr>
            <w:pStyle w:val="Footer"/>
            <w:tabs>
              <w:tab w:val="clear" w:pos="8640"/>
              <w:tab w:val="right" w:pos="9360"/>
            </w:tabs>
          </w:pPr>
        </w:p>
      </w:tc>
      <w:tc>
        <w:tcPr>
          <w:tcW w:w="2395" w:type="pct"/>
        </w:tcPr>
        <w:p w14:paraId="5581D248" w14:textId="716BA744" w:rsidR="00EC379B" w:rsidRPr="009C1E9A" w:rsidRDefault="00BF5879" w:rsidP="009C1E9A">
          <w:pPr>
            <w:pStyle w:val="Footer"/>
            <w:tabs>
              <w:tab w:val="clear" w:pos="8640"/>
              <w:tab w:val="right" w:pos="9360"/>
            </w:tabs>
            <w:rPr>
              <w:rFonts w:ascii="Shruti" w:hAnsi="Shruti"/>
              <w:sz w:val="22"/>
            </w:rPr>
          </w:pPr>
          <w:r>
            <w:rPr>
              <w:rFonts w:ascii="Shruti" w:hAnsi="Shruti"/>
              <w:sz w:val="22"/>
            </w:rPr>
            <w:t>89R 26259-D</w:t>
          </w:r>
        </w:p>
      </w:tc>
      <w:tc>
        <w:tcPr>
          <w:tcW w:w="2453" w:type="pct"/>
        </w:tcPr>
        <w:p w14:paraId="706D0AC4" w14:textId="3F30B3C1" w:rsidR="00EC379B" w:rsidRDefault="00BF5879" w:rsidP="009C1E9A">
          <w:pPr>
            <w:pStyle w:val="Footer"/>
            <w:tabs>
              <w:tab w:val="clear" w:pos="8640"/>
              <w:tab w:val="right" w:pos="9360"/>
            </w:tabs>
            <w:jc w:val="right"/>
          </w:pPr>
          <w:r>
            <w:fldChar w:fldCharType="begin"/>
          </w:r>
          <w:r>
            <w:instrText xml:space="preserve"> DOCPROPERTY  OTID  \* MERGEFORMAT </w:instrText>
          </w:r>
          <w:r>
            <w:fldChar w:fldCharType="separate"/>
          </w:r>
          <w:r w:rsidR="00A84802">
            <w:t>25.115.1586</w:t>
          </w:r>
          <w:r>
            <w:fldChar w:fldCharType="end"/>
          </w:r>
        </w:p>
      </w:tc>
    </w:tr>
    <w:tr w:rsidR="006971E4" w14:paraId="0A3F33FB" w14:textId="77777777" w:rsidTr="009C1E9A">
      <w:trPr>
        <w:cantSplit/>
      </w:trPr>
      <w:tc>
        <w:tcPr>
          <w:tcW w:w="0" w:type="pct"/>
        </w:tcPr>
        <w:p w14:paraId="7CF08340" w14:textId="77777777" w:rsidR="00EC379B" w:rsidRDefault="00EC379B" w:rsidP="009C1E9A">
          <w:pPr>
            <w:pStyle w:val="Footer"/>
            <w:tabs>
              <w:tab w:val="clear" w:pos="4320"/>
              <w:tab w:val="clear" w:pos="8640"/>
              <w:tab w:val="left" w:pos="2865"/>
            </w:tabs>
          </w:pPr>
        </w:p>
      </w:tc>
      <w:tc>
        <w:tcPr>
          <w:tcW w:w="2395" w:type="pct"/>
        </w:tcPr>
        <w:p w14:paraId="31E8272F"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2341682" w14:textId="77777777" w:rsidR="00EC379B" w:rsidRDefault="00EC379B" w:rsidP="006D504F">
          <w:pPr>
            <w:pStyle w:val="Footer"/>
            <w:rPr>
              <w:rStyle w:val="PageNumber"/>
            </w:rPr>
          </w:pPr>
        </w:p>
        <w:p w14:paraId="13504A4D" w14:textId="77777777" w:rsidR="00EC379B" w:rsidRDefault="00EC379B" w:rsidP="009C1E9A">
          <w:pPr>
            <w:pStyle w:val="Footer"/>
            <w:tabs>
              <w:tab w:val="clear" w:pos="8640"/>
              <w:tab w:val="right" w:pos="9360"/>
            </w:tabs>
            <w:jc w:val="right"/>
          </w:pPr>
        </w:p>
      </w:tc>
    </w:tr>
    <w:tr w:rsidR="006971E4" w14:paraId="31718868" w14:textId="77777777" w:rsidTr="009C1E9A">
      <w:trPr>
        <w:cantSplit/>
        <w:trHeight w:val="323"/>
      </w:trPr>
      <w:tc>
        <w:tcPr>
          <w:tcW w:w="0" w:type="pct"/>
          <w:gridSpan w:val="3"/>
        </w:tcPr>
        <w:p w14:paraId="35B9ED04" w14:textId="77777777" w:rsidR="00EC379B" w:rsidRDefault="00BF587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8C67B36" w14:textId="77777777" w:rsidR="00EC379B" w:rsidRDefault="00EC379B" w:rsidP="009C1E9A">
          <w:pPr>
            <w:pStyle w:val="Footer"/>
            <w:tabs>
              <w:tab w:val="clear" w:pos="8640"/>
              <w:tab w:val="right" w:pos="9360"/>
            </w:tabs>
            <w:jc w:val="center"/>
          </w:pPr>
        </w:p>
      </w:tc>
    </w:tr>
  </w:tbl>
  <w:p w14:paraId="6B8AC3B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F885B"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F1D51" w14:textId="77777777" w:rsidR="00BF5879" w:rsidRDefault="00BF5879">
      <w:r>
        <w:separator/>
      </w:r>
    </w:p>
  </w:footnote>
  <w:footnote w:type="continuationSeparator" w:id="0">
    <w:p w14:paraId="4D222ED6" w14:textId="77777777" w:rsidR="00BF5879" w:rsidRDefault="00BF5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EF36"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33F0"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34CC"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47253C"/>
    <w:multiLevelType w:val="hybridMultilevel"/>
    <w:tmpl w:val="2E8883DC"/>
    <w:lvl w:ilvl="0" w:tplc="6BF87A6A">
      <w:start w:val="1"/>
      <w:numFmt w:val="bullet"/>
      <w:lvlText w:val=""/>
      <w:lvlJc w:val="left"/>
      <w:pPr>
        <w:tabs>
          <w:tab w:val="num" w:pos="720"/>
        </w:tabs>
        <w:ind w:left="720" w:hanging="360"/>
      </w:pPr>
      <w:rPr>
        <w:rFonts w:ascii="Symbol" w:hAnsi="Symbol" w:hint="default"/>
      </w:rPr>
    </w:lvl>
    <w:lvl w:ilvl="1" w:tplc="D1682C68">
      <w:start w:val="1"/>
      <w:numFmt w:val="bullet"/>
      <w:lvlText w:val="o"/>
      <w:lvlJc w:val="left"/>
      <w:pPr>
        <w:ind w:left="1440" w:hanging="360"/>
      </w:pPr>
      <w:rPr>
        <w:rFonts w:ascii="Courier New" w:hAnsi="Courier New" w:cs="Courier New" w:hint="default"/>
      </w:rPr>
    </w:lvl>
    <w:lvl w:ilvl="2" w:tplc="DA80DBBC" w:tentative="1">
      <w:start w:val="1"/>
      <w:numFmt w:val="bullet"/>
      <w:lvlText w:val=""/>
      <w:lvlJc w:val="left"/>
      <w:pPr>
        <w:ind w:left="2160" w:hanging="360"/>
      </w:pPr>
      <w:rPr>
        <w:rFonts w:ascii="Wingdings" w:hAnsi="Wingdings" w:hint="default"/>
      </w:rPr>
    </w:lvl>
    <w:lvl w:ilvl="3" w:tplc="6EE266DA" w:tentative="1">
      <w:start w:val="1"/>
      <w:numFmt w:val="bullet"/>
      <w:lvlText w:val=""/>
      <w:lvlJc w:val="left"/>
      <w:pPr>
        <w:ind w:left="2880" w:hanging="360"/>
      </w:pPr>
      <w:rPr>
        <w:rFonts w:ascii="Symbol" w:hAnsi="Symbol" w:hint="default"/>
      </w:rPr>
    </w:lvl>
    <w:lvl w:ilvl="4" w:tplc="2FE826C6" w:tentative="1">
      <w:start w:val="1"/>
      <w:numFmt w:val="bullet"/>
      <w:lvlText w:val="o"/>
      <w:lvlJc w:val="left"/>
      <w:pPr>
        <w:ind w:left="3600" w:hanging="360"/>
      </w:pPr>
      <w:rPr>
        <w:rFonts w:ascii="Courier New" w:hAnsi="Courier New" w:cs="Courier New" w:hint="default"/>
      </w:rPr>
    </w:lvl>
    <w:lvl w:ilvl="5" w:tplc="D16EE250" w:tentative="1">
      <w:start w:val="1"/>
      <w:numFmt w:val="bullet"/>
      <w:lvlText w:val=""/>
      <w:lvlJc w:val="left"/>
      <w:pPr>
        <w:ind w:left="4320" w:hanging="360"/>
      </w:pPr>
      <w:rPr>
        <w:rFonts w:ascii="Wingdings" w:hAnsi="Wingdings" w:hint="default"/>
      </w:rPr>
    </w:lvl>
    <w:lvl w:ilvl="6" w:tplc="C784CEBE" w:tentative="1">
      <w:start w:val="1"/>
      <w:numFmt w:val="bullet"/>
      <w:lvlText w:val=""/>
      <w:lvlJc w:val="left"/>
      <w:pPr>
        <w:ind w:left="5040" w:hanging="360"/>
      </w:pPr>
      <w:rPr>
        <w:rFonts w:ascii="Symbol" w:hAnsi="Symbol" w:hint="default"/>
      </w:rPr>
    </w:lvl>
    <w:lvl w:ilvl="7" w:tplc="0512E034" w:tentative="1">
      <w:start w:val="1"/>
      <w:numFmt w:val="bullet"/>
      <w:lvlText w:val="o"/>
      <w:lvlJc w:val="left"/>
      <w:pPr>
        <w:ind w:left="5760" w:hanging="360"/>
      </w:pPr>
      <w:rPr>
        <w:rFonts w:ascii="Courier New" w:hAnsi="Courier New" w:cs="Courier New" w:hint="default"/>
      </w:rPr>
    </w:lvl>
    <w:lvl w:ilvl="8" w:tplc="E6DAFC58" w:tentative="1">
      <w:start w:val="1"/>
      <w:numFmt w:val="bullet"/>
      <w:lvlText w:val=""/>
      <w:lvlJc w:val="left"/>
      <w:pPr>
        <w:ind w:left="6480" w:hanging="360"/>
      </w:pPr>
      <w:rPr>
        <w:rFonts w:ascii="Wingdings" w:hAnsi="Wingdings" w:hint="default"/>
      </w:rPr>
    </w:lvl>
  </w:abstractNum>
  <w:num w:numId="1" w16cid:durableId="936210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CC7"/>
    <w:rsid w:val="00000A70"/>
    <w:rsid w:val="00000F78"/>
    <w:rsid w:val="000030B8"/>
    <w:rsid w:val="000032B8"/>
    <w:rsid w:val="00003B06"/>
    <w:rsid w:val="000054B9"/>
    <w:rsid w:val="0000623C"/>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6422"/>
    <w:rsid w:val="00026AFA"/>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395A"/>
    <w:rsid w:val="001245C8"/>
    <w:rsid w:val="00124653"/>
    <w:rsid w:val="001247C5"/>
    <w:rsid w:val="00124FD0"/>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011"/>
    <w:rsid w:val="001968BC"/>
    <w:rsid w:val="001A0739"/>
    <w:rsid w:val="001A0F00"/>
    <w:rsid w:val="001A2BDD"/>
    <w:rsid w:val="001A3DDF"/>
    <w:rsid w:val="001A4310"/>
    <w:rsid w:val="001A4D05"/>
    <w:rsid w:val="001B053A"/>
    <w:rsid w:val="001B26D8"/>
    <w:rsid w:val="001B3BFA"/>
    <w:rsid w:val="001B75B8"/>
    <w:rsid w:val="001C1230"/>
    <w:rsid w:val="001C4F5F"/>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0FF"/>
    <w:rsid w:val="001F3CB8"/>
    <w:rsid w:val="001F6B91"/>
    <w:rsid w:val="001F6FE1"/>
    <w:rsid w:val="001F703C"/>
    <w:rsid w:val="00200B9E"/>
    <w:rsid w:val="00200BF5"/>
    <w:rsid w:val="002010D1"/>
    <w:rsid w:val="00201338"/>
    <w:rsid w:val="00204033"/>
    <w:rsid w:val="0020775D"/>
    <w:rsid w:val="002116DD"/>
    <w:rsid w:val="0021383D"/>
    <w:rsid w:val="00216BBA"/>
    <w:rsid w:val="00216E12"/>
    <w:rsid w:val="00217466"/>
    <w:rsid w:val="0021751D"/>
    <w:rsid w:val="00217C49"/>
    <w:rsid w:val="0022177D"/>
    <w:rsid w:val="002242DA"/>
    <w:rsid w:val="00224C37"/>
    <w:rsid w:val="002304DF"/>
    <w:rsid w:val="00230C73"/>
    <w:rsid w:val="0023341D"/>
    <w:rsid w:val="002338DA"/>
    <w:rsid w:val="00233D66"/>
    <w:rsid w:val="00233FDB"/>
    <w:rsid w:val="00234F58"/>
    <w:rsid w:val="0023507D"/>
    <w:rsid w:val="0024077A"/>
    <w:rsid w:val="00241B3D"/>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5732"/>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53E0"/>
    <w:rsid w:val="00370155"/>
    <w:rsid w:val="003712D5"/>
    <w:rsid w:val="003747DF"/>
    <w:rsid w:val="00377E3D"/>
    <w:rsid w:val="003847E8"/>
    <w:rsid w:val="0038731D"/>
    <w:rsid w:val="00387B60"/>
    <w:rsid w:val="00390098"/>
    <w:rsid w:val="00392DA1"/>
    <w:rsid w:val="00393718"/>
    <w:rsid w:val="003944A1"/>
    <w:rsid w:val="003A0296"/>
    <w:rsid w:val="003A10BC"/>
    <w:rsid w:val="003A33DD"/>
    <w:rsid w:val="003B0243"/>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55DC"/>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680"/>
    <w:rsid w:val="0043190E"/>
    <w:rsid w:val="004324E9"/>
    <w:rsid w:val="00433245"/>
    <w:rsid w:val="00434567"/>
    <w:rsid w:val="004350F3"/>
    <w:rsid w:val="00436980"/>
    <w:rsid w:val="00441016"/>
    <w:rsid w:val="00441F2F"/>
    <w:rsid w:val="0044228B"/>
    <w:rsid w:val="00447018"/>
    <w:rsid w:val="00450561"/>
    <w:rsid w:val="00450A40"/>
    <w:rsid w:val="00451D7C"/>
    <w:rsid w:val="00452FC3"/>
    <w:rsid w:val="00454715"/>
    <w:rsid w:val="00455936"/>
    <w:rsid w:val="00455ACE"/>
    <w:rsid w:val="00456AEC"/>
    <w:rsid w:val="00461B69"/>
    <w:rsid w:val="00462B3D"/>
    <w:rsid w:val="00472125"/>
    <w:rsid w:val="004742AB"/>
    <w:rsid w:val="00474927"/>
    <w:rsid w:val="00475913"/>
    <w:rsid w:val="00480080"/>
    <w:rsid w:val="004824A7"/>
    <w:rsid w:val="00483AF0"/>
    <w:rsid w:val="00484167"/>
    <w:rsid w:val="00492211"/>
    <w:rsid w:val="00492325"/>
    <w:rsid w:val="00492A6D"/>
    <w:rsid w:val="00494303"/>
    <w:rsid w:val="0049682B"/>
    <w:rsid w:val="00496914"/>
    <w:rsid w:val="004977A3"/>
    <w:rsid w:val="004A03F7"/>
    <w:rsid w:val="004A081C"/>
    <w:rsid w:val="004A123F"/>
    <w:rsid w:val="004A2172"/>
    <w:rsid w:val="004A239F"/>
    <w:rsid w:val="004A38C8"/>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05D"/>
    <w:rsid w:val="004E12A3"/>
    <w:rsid w:val="004E2492"/>
    <w:rsid w:val="004E286E"/>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6DAD"/>
    <w:rsid w:val="005073E8"/>
    <w:rsid w:val="00510503"/>
    <w:rsid w:val="0051324D"/>
    <w:rsid w:val="00515466"/>
    <w:rsid w:val="005154F7"/>
    <w:rsid w:val="005159DE"/>
    <w:rsid w:val="00523D32"/>
    <w:rsid w:val="00524B43"/>
    <w:rsid w:val="005269CE"/>
    <w:rsid w:val="005304B2"/>
    <w:rsid w:val="0053299A"/>
    <w:rsid w:val="005336BD"/>
    <w:rsid w:val="00534A49"/>
    <w:rsid w:val="005363BB"/>
    <w:rsid w:val="00541B98"/>
    <w:rsid w:val="00543374"/>
    <w:rsid w:val="00545548"/>
    <w:rsid w:val="00546923"/>
    <w:rsid w:val="00551CA6"/>
    <w:rsid w:val="005531DA"/>
    <w:rsid w:val="00555034"/>
    <w:rsid w:val="005570D2"/>
    <w:rsid w:val="00561528"/>
    <w:rsid w:val="0056153F"/>
    <w:rsid w:val="00561B14"/>
    <w:rsid w:val="00562C87"/>
    <w:rsid w:val="005636BD"/>
    <w:rsid w:val="005666D5"/>
    <w:rsid w:val="005669A7"/>
    <w:rsid w:val="0057226B"/>
    <w:rsid w:val="00572F30"/>
    <w:rsid w:val="00573401"/>
    <w:rsid w:val="00576714"/>
    <w:rsid w:val="0057685A"/>
    <w:rsid w:val="005832EE"/>
    <w:rsid w:val="005847EF"/>
    <w:rsid w:val="005851E6"/>
    <w:rsid w:val="005878B7"/>
    <w:rsid w:val="00592C9A"/>
    <w:rsid w:val="00593DF8"/>
    <w:rsid w:val="00595745"/>
    <w:rsid w:val="00597442"/>
    <w:rsid w:val="005A0E18"/>
    <w:rsid w:val="005A12A5"/>
    <w:rsid w:val="005A21A8"/>
    <w:rsid w:val="005A3790"/>
    <w:rsid w:val="005A3CCB"/>
    <w:rsid w:val="005A6D13"/>
    <w:rsid w:val="005A7E99"/>
    <w:rsid w:val="005B031F"/>
    <w:rsid w:val="005B3298"/>
    <w:rsid w:val="005B3C13"/>
    <w:rsid w:val="005B4A48"/>
    <w:rsid w:val="005B5516"/>
    <w:rsid w:val="005B5D2B"/>
    <w:rsid w:val="005C0DB2"/>
    <w:rsid w:val="005C1496"/>
    <w:rsid w:val="005C17C5"/>
    <w:rsid w:val="005C2B21"/>
    <w:rsid w:val="005C2C00"/>
    <w:rsid w:val="005C4C6F"/>
    <w:rsid w:val="005C5127"/>
    <w:rsid w:val="005C74DF"/>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0C6"/>
    <w:rsid w:val="00603B0F"/>
    <w:rsid w:val="006049F5"/>
    <w:rsid w:val="00605F7B"/>
    <w:rsid w:val="00607E64"/>
    <w:rsid w:val="006106E9"/>
    <w:rsid w:val="0061159E"/>
    <w:rsid w:val="00614632"/>
    <w:rsid w:val="00614633"/>
    <w:rsid w:val="00614BC8"/>
    <w:rsid w:val="006151FB"/>
    <w:rsid w:val="00617411"/>
    <w:rsid w:val="006249CB"/>
    <w:rsid w:val="00626F18"/>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77F19"/>
    <w:rsid w:val="0068127E"/>
    <w:rsid w:val="00681790"/>
    <w:rsid w:val="006823AA"/>
    <w:rsid w:val="0068302A"/>
    <w:rsid w:val="00684B98"/>
    <w:rsid w:val="00685DC9"/>
    <w:rsid w:val="00687465"/>
    <w:rsid w:val="006907CF"/>
    <w:rsid w:val="00691CCF"/>
    <w:rsid w:val="00693AFA"/>
    <w:rsid w:val="00695101"/>
    <w:rsid w:val="00695B9A"/>
    <w:rsid w:val="00696563"/>
    <w:rsid w:val="006971E4"/>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7CC7"/>
    <w:rsid w:val="006D3005"/>
    <w:rsid w:val="006D504F"/>
    <w:rsid w:val="006D7193"/>
    <w:rsid w:val="006E0CAC"/>
    <w:rsid w:val="006E1CFB"/>
    <w:rsid w:val="006E1F94"/>
    <w:rsid w:val="006E26C1"/>
    <w:rsid w:val="006E30A8"/>
    <w:rsid w:val="006E45B0"/>
    <w:rsid w:val="006E5692"/>
    <w:rsid w:val="006F365D"/>
    <w:rsid w:val="006F4BB0"/>
    <w:rsid w:val="006F5C4C"/>
    <w:rsid w:val="007031BD"/>
    <w:rsid w:val="00703E80"/>
    <w:rsid w:val="00705276"/>
    <w:rsid w:val="007066A0"/>
    <w:rsid w:val="007075FB"/>
    <w:rsid w:val="0070787B"/>
    <w:rsid w:val="00707F6F"/>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799E"/>
    <w:rsid w:val="00747CC8"/>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3F8D"/>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7F7F8A"/>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088"/>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9E3"/>
    <w:rsid w:val="008B2B1A"/>
    <w:rsid w:val="008B3428"/>
    <w:rsid w:val="008B4A91"/>
    <w:rsid w:val="008B7785"/>
    <w:rsid w:val="008B79F2"/>
    <w:rsid w:val="008C0809"/>
    <w:rsid w:val="008C132C"/>
    <w:rsid w:val="008C3539"/>
    <w:rsid w:val="008C3FD0"/>
    <w:rsid w:val="008D27A5"/>
    <w:rsid w:val="008D2AAB"/>
    <w:rsid w:val="008D309C"/>
    <w:rsid w:val="008D58F9"/>
    <w:rsid w:val="008D7427"/>
    <w:rsid w:val="008E3338"/>
    <w:rsid w:val="008E4592"/>
    <w:rsid w:val="008E47BE"/>
    <w:rsid w:val="008F09DF"/>
    <w:rsid w:val="008F3053"/>
    <w:rsid w:val="008F3136"/>
    <w:rsid w:val="008F40DF"/>
    <w:rsid w:val="008F4490"/>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69D5"/>
    <w:rsid w:val="00967126"/>
    <w:rsid w:val="00970EAE"/>
    <w:rsid w:val="00971627"/>
    <w:rsid w:val="009723D1"/>
    <w:rsid w:val="00972797"/>
    <w:rsid w:val="0097279D"/>
    <w:rsid w:val="00976837"/>
    <w:rsid w:val="00980311"/>
    <w:rsid w:val="0098170E"/>
    <w:rsid w:val="0098285C"/>
    <w:rsid w:val="00983B56"/>
    <w:rsid w:val="009847FD"/>
    <w:rsid w:val="009851B3"/>
    <w:rsid w:val="00985300"/>
    <w:rsid w:val="0098669D"/>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55B3"/>
    <w:rsid w:val="00A07689"/>
    <w:rsid w:val="00A07906"/>
    <w:rsid w:val="00A10908"/>
    <w:rsid w:val="00A10A1F"/>
    <w:rsid w:val="00A12330"/>
    <w:rsid w:val="00A1259F"/>
    <w:rsid w:val="00A13D6B"/>
    <w:rsid w:val="00A1446F"/>
    <w:rsid w:val="00A151B5"/>
    <w:rsid w:val="00A220FF"/>
    <w:rsid w:val="00A227E0"/>
    <w:rsid w:val="00A232E4"/>
    <w:rsid w:val="00A24AAD"/>
    <w:rsid w:val="00A26A8A"/>
    <w:rsid w:val="00A27255"/>
    <w:rsid w:val="00A32304"/>
    <w:rsid w:val="00A3420E"/>
    <w:rsid w:val="00A35D66"/>
    <w:rsid w:val="00A41085"/>
    <w:rsid w:val="00A4215A"/>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5CEA"/>
    <w:rsid w:val="00A70E35"/>
    <w:rsid w:val="00A720DC"/>
    <w:rsid w:val="00A803CF"/>
    <w:rsid w:val="00A8133F"/>
    <w:rsid w:val="00A81431"/>
    <w:rsid w:val="00A82CB4"/>
    <w:rsid w:val="00A837A8"/>
    <w:rsid w:val="00A83C36"/>
    <w:rsid w:val="00A84802"/>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14"/>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97BD3"/>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BF5879"/>
    <w:rsid w:val="00C013F4"/>
    <w:rsid w:val="00C040AB"/>
    <w:rsid w:val="00C0499B"/>
    <w:rsid w:val="00C05406"/>
    <w:rsid w:val="00C05CF0"/>
    <w:rsid w:val="00C119AC"/>
    <w:rsid w:val="00C14EE6"/>
    <w:rsid w:val="00C151DA"/>
    <w:rsid w:val="00C152A1"/>
    <w:rsid w:val="00C16CCB"/>
    <w:rsid w:val="00C2142B"/>
    <w:rsid w:val="00C22987"/>
    <w:rsid w:val="00C23956"/>
    <w:rsid w:val="00C23ECA"/>
    <w:rsid w:val="00C248E6"/>
    <w:rsid w:val="00C2766F"/>
    <w:rsid w:val="00C3223B"/>
    <w:rsid w:val="00C333C6"/>
    <w:rsid w:val="00C35CC5"/>
    <w:rsid w:val="00C361C5"/>
    <w:rsid w:val="00C377D1"/>
    <w:rsid w:val="00C37BDA"/>
    <w:rsid w:val="00C37C84"/>
    <w:rsid w:val="00C42B41"/>
    <w:rsid w:val="00C46166"/>
    <w:rsid w:val="00C46221"/>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832"/>
    <w:rsid w:val="00C74DD8"/>
    <w:rsid w:val="00C75C5E"/>
    <w:rsid w:val="00C7669F"/>
    <w:rsid w:val="00C76DFF"/>
    <w:rsid w:val="00C80B8F"/>
    <w:rsid w:val="00C82743"/>
    <w:rsid w:val="00C834CE"/>
    <w:rsid w:val="00C9047F"/>
    <w:rsid w:val="00C91F65"/>
    <w:rsid w:val="00C92310"/>
    <w:rsid w:val="00C95150"/>
    <w:rsid w:val="00C951B5"/>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1514"/>
    <w:rsid w:val="00CF4827"/>
    <w:rsid w:val="00CF4C69"/>
    <w:rsid w:val="00CF581C"/>
    <w:rsid w:val="00CF71E0"/>
    <w:rsid w:val="00D001B1"/>
    <w:rsid w:val="00D03176"/>
    <w:rsid w:val="00D05268"/>
    <w:rsid w:val="00D060A8"/>
    <w:rsid w:val="00D06605"/>
    <w:rsid w:val="00D0720F"/>
    <w:rsid w:val="00D074E2"/>
    <w:rsid w:val="00D11B0B"/>
    <w:rsid w:val="00D12A3E"/>
    <w:rsid w:val="00D22160"/>
    <w:rsid w:val="00D22172"/>
    <w:rsid w:val="00D2301B"/>
    <w:rsid w:val="00D239EE"/>
    <w:rsid w:val="00D30534"/>
    <w:rsid w:val="00D35728"/>
    <w:rsid w:val="00D35992"/>
    <w:rsid w:val="00D359A7"/>
    <w:rsid w:val="00D37BCF"/>
    <w:rsid w:val="00D40F93"/>
    <w:rsid w:val="00D42277"/>
    <w:rsid w:val="00D43C59"/>
    <w:rsid w:val="00D44ADE"/>
    <w:rsid w:val="00D454A5"/>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00C9"/>
    <w:rsid w:val="00D811E8"/>
    <w:rsid w:val="00D81A44"/>
    <w:rsid w:val="00D83072"/>
    <w:rsid w:val="00D83ABC"/>
    <w:rsid w:val="00D83CE5"/>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4C80"/>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1C1"/>
    <w:rsid w:val="00E20520"/>
    <w:rsid w:val="00E21D55"/>
    <w:rsid w:val="00E21FDC"/>
    <w:rsid w:val="00E2551E"/>
    <w:rsid w:val="00E26B13"/>
    <w:rsid w:val="00E27E5A"/>
    <w:rsid w:val="00E31135"/>
    <w:rsid w:val="00E317BA"/>
    <w:rsid w:val="00E332D3"/>
    <w:rsid w:val="00E3469B"/>
    <w:rsid w:val="00E3679D"/>
    <w:rsid w:val="00E3795D"/>
    <w:rsid w:val="00E4098A"/>
    <w:rsid w:val="00E41CAE"/>
    <w:rsid w:val="00E42014"/>
    <w:rsid w:val="00E42B85"/>
    <w:rsid w:val="00E42BB2"/>
    <w:rsid w:val="00E43263"/>
    <w:rsid w:val="00E438AE"/>
    <w:rsid w:val="00E443CE"/>
    <w:rsid w:val="00E45547"/>
    <w:rsid w:val="00E45A94"/>
    <w:rsid w:val="00E500F1"/>
    <w:rsid w:val="00E51446"/>
    <w:rsid w:val="00E529C8"/>
    <w:rsid w:val="00E55DA0"/>
    <w:rsid w:val="00E56033"/>
    <w:rsid w:val="00E61159"/>
    <w:rsid w:val="00E614C1"/>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A7D7E"/>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6AB7"/>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8CA"/>
    <w:rsid w:val="00F31C67"/>
    <w:rsid w:val="00F3605F"/>
    <w:rsid w:val="00F36FE0"/>
    <w:rsid w:val="00F37EA8"/>
    <w:rsid w:val="00F40B14"/>
    <w:rsid w:val="00F41186"/>
    <w:rsid w:val="00F41EEF"/>
    <w:rsid w:val="00F41FAC"/>
    <w:rsid w:val="00F420C6"/>
    <w:rsid w:val="00F423D3"/>
    <w:rsid w:val="00F44349"/>
    <w:rsid w:val="00F4569E"/>
    <w:rsid w:val="00F45AFC"/>
    <w:rsid w:val="00F462F4"/>
    <w:rsid w:val="00F50130"/>
    <w:rsid w:val="00F50E2B"/>
    <w:rsid w:val="00F512D9"/>
    <w:rsid w:val="00F52402"/>
    <w:rsid w:val="00F5605D"/>
    <w:rsid w:val="00F6514B"/>
    <w:rsid w:val="00F6533E"/>
    <w:rsid w:val="00F6587F"/>
    <w:rsid w:val="00F67981"/>
    <w:rsid w:val="00F706CA"/>
    <w:rsid w:val="00F70F8D"/>
    <w:rsid w:val="00F71C5A"/>
    <w:rsid w:val="00F733A4"/>
    <w:rsid w:val="00F74EE2"/>
    <w:rsid w:val="00F7758F"/>
    <w:rsid w:val="00F82811"/>
    <w:rsid w:val="00F83F8D"/>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D75EF"/>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552BAD-E791-4FB8-9428-E7BA2D38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F7F8A"/>
    <w:rPr>
      <w:sz w:val="16"/>
      <w:szCs w:val="16"/>
    </w:rPr>
  </w:style>
  <w:style w:type="paragraph" w:styleId="CommentText">
    <w:name w:val="annotation text"/>
    <w:basedOn w:val="Normal"/>
    <w:link w:val="CommentTextChar"/>
    <w:unhideWhenUsed/>
    <w:rsid w:val="007F7F8A"/>
    <w:rPr>
      <w:sz w:val="20"/>
      <w:szCs w:val="20"/>
    </w:rPr>
  </w:style>
  <w:style w:type="character" w:customStyle="1" w:styleId="CommentTextChar">
    <w:name w:val="Comment Text Char"/>
    <w:basedOn w:val="DefaultParagraphFont"/>
    <w:link w:val="CommentText"/>
    <w:rsid w:val="007F7F8A"/>
  </w:style>
  <w:style w:type="paragraph" w:styleId="CommentSubject">
    <w:name w:val="annotation subject"/>
    <w:basedOn w:val="CommentText"/>
    <w:next w:val="CommentText"/>
    <w:link w:val="CommentSubjectChar"/>
    <w:semiHidden/>
    <w:unhideWhenUsed/>
    <w:rsid w:val="007F7F8A"/>
    <w:rPr>
      <w:b/>
      <w:bCs/>
    </w:rPr>
  </w:style>
  <w:style w:type="character" w:customStyle="1" w:styleId="CommentSubjectChar">
    <w:name w:val="Comment Subject Char"/>
    <w:basedOn w:val="CommentTextChar"/>
    <w:link w:val="CommentSubject"/>
    <w:semiHidden/>
    <w:rsid w:val="007F7F8A"/>
    <w:rPr>
      <w:b/>
      <w:bCs/>
    </w:rPr>
  </w:style>
  <w:style w:type="paragraph" w:styleId="Revision">
    <w:name w:val="Revision"/>
    <w:hidden/>
    <w:uiPriority w:val="99"/>
    <w:semiHidden/>
    <w:rsid w:val="005C0DB2"/>
    <w:rPr>
      <w:sz w:val="24"/>
      <w:szCs w:val="24"/>
    </w:rPr>
  </w:style>
  <w:style w:type="character" w:styleId="Hyperlink">
    <w:name w:val="Hyperlink"/>
    <w:basedOn w:val="DefaultParagraphFont"/>
    <w:unhideWhenUsed/>
    <w:rsid w:val="000030B8"/>
    <w:rPr>
      <w:color w:val="0000FF" w:themeColor="hyperlink"/>
      <w:u w:val="single"/>
    </w:rPr>
  </w:style>
  <w:style w:type="character" w:customStyle="1" w:styleId="UnresolvedMention1">
    <w:name w:val="Unresolved Mention1"/>
    <w:basedOn w:val="DefaultParagraphFont"/>
    <w:uiPriority w:val="99"/>
    <w:semiHidden/>
    <w:unhideWhenUsed/>
    <w:rsid w:val="00003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Words>
  <Characters>3840</Characters>
  <Application>Microsoft Office Word</Application>
  <DocSecurity>0</DocSecurity>
  <Lines>83</Lines>
  <Paragraphs>24</Paragraphs>
  <ScaleCrop>false</ScaleCrop>
  <HeadingPairs>
    <vt:vector size="2" baseType="variant">
      <vt:variant>
        <vt:lpstr>Title</vt:lpstr>
      </vt:variant>
      <vt:variant>
        <vt:i4>1</vt:i4>
      </vt:variant>
    </vt:vector>
  </HeadingPairs>
  <TitlesOfParts>
    <vt:vector size="1" baseType="lpstr">
      <vt:lpstr>BA - SB00494 (Committee Report (Unamended))</vt:lpstr>
    </vt:vector>
  </TitlesOfParts>
  <Company>State of Texas</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26259</dc:subject>
  <dc:creator>State of Texas</dc:creator>
  <dc:description>SB 494 by Sparks-(H)Energy Resources</dc:description>
  <cp:lastModifiedBy>Damian Duarte</cp:lastModifiedBy>
  <cp:revision>2</cp:revision>
  <cp:lastPrinted>2003-11-26T17:21:00Z</cp:lastPrinted>
  <dcterms:created xsi:type="dcterms:W3CDTF">2025-04-28T19:15:00Z</dcterms:created>
  <dcterms:modified xsi:type="dcterms:W3CDTF">2025-04-28T19:15:00Z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25.115.1586</vt:lpwstr>
  </property>
</Properties>
</file>