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23500" w14:paraId="5190AFA9" w14:textId="77777777" w:rsidTr="00345119">
        <w:tc>
          <w:tcPr>
            <w:tcW w:w="9576" w:type="dxa"/>
            <w:noWrap/>
          </w:tcPr>
          <w:p w14:paraId="4C4015C9" w14:textId="77777777" w:rsidR="008423E4" w:rsidRPr="0022177D" w:rsidRDefault="00603620" w:rsidP="00E663F1">
            <w:pPr>
              <w:pStyle w:val="Heading1"/>
            </w:pPr>
            <w:r w:rsidRPr="00631897">
              <w:t>BILL ANALYSIS</w:t>
            </w:r>
          </w:p>
        </w:tc>
      </w:tr>
    </w:tbl>
    <w:p w14:paraId="36AFD8F6" w14:textId="77777777" w:rsidR="008423E4" w:rsidRPr="0022177D" w:rsidRDefault="008423E4" w:rsidP="00E663F1">
      <w:pPr>
        <w:jc w:val="center"/>
      </w:pPr>
    </w:p>
    <w:p w14:paraId="132324CB" w14:textId="77777777" w:rsidR="008423E4" w:rsidRPr="00B31F0E" w:rsidRDefault="008423E4" w:rsidP="00E663F1"/>
    <w:p w14:paraId="464747E7" w14:textId="77777777" w:rsidR="008423E4" w:rsidRPr="00742794" w:rsidRDefault="008423E4" w:rsidP="00E663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23500" w14:paraId="4CFE0373" w14:textId="77777777" w:rsidTr="00345119">
        <w:tc>
          <w:tcPr>
            <w:tcW w:w="9576" w:type="dxa"/>
          </w:tcPr>
          <w:p w14:paraId="379E3FB0" w14:textId="75A50296" w:rsidR="008423E4" w:rsidRPr="00861995" w:rsidRDefault="00603620" w:rsidP="00E663F1">
            <w:pPr>
              <w:jc w:val="right"/>
            </w:pPr>
            <w:r>
              <w:t>S.B. 509</w:t>
            </w:r>
          </w:p>
        </w:tc>
      </w:tr>
      <w:tr w:rsidR="00A23500" w14:paraId="27194114" w14:textId="77777777" w:rsidTr="00345119">
        <w:tc>
          <w:tcPr>
            <w:tcW w:w="9576" w:type="dxa"/>
          </w:tcPr>
          <w:p w14:paraId="47D73BAD" w14:textId="4F7D7C87" w:rsidR="008423E4" w:rsidRPr="00861995" w:rsidRDefault="00603620" w:rsidP="00E663F1">
            <w:pPr>
              <w:jc w:val="right"/>
            </w:pPr>
            <w:r>
              <w:t xml:space="preserve">By: </w:t>
            </w:r>
            <w:r w:rsidR="008C643E">
              <w:t>Bettencourt</w:t>
            </w:r>
          </w:p>
        </w:tc>
      </w:tr>
      <w:tr w:rsidR="00A23500" w14:paraId="1D618372" w14:textId="77777777" w:rsidTr="00345119">
        <w:tc>
          <w:tcPr>
            <w:tcW w:w="9576" w:type="dxa"/>
          </w:tcPr>
          <w:p w14:paraId="0EE25EF5" w14:textId="66D29F9B" w:rsidR="008423E4" w:rsidRPr="00861995" w:rsidRDefault="00603620" w:rsidP="00E663F1">
            <w:pPr>
              <w:jc w:val="right"/>
            </w:pPr>
            <w:r>
              <w:t>Elections</w:t>
            </w:r>
          </w:p>
        </w:tc>
      </w:tr>
      <w:tr w:rsidR="00A23500" w14:paraId="2E02D379" w14:textId="77777777" w:rsidTr="00345119">
        <w:tc>
          <w:tcPr>
            <w:tcW w:w="9576" w:type="dxa"/>
          </w:tcPr>
          <w:p w14:paraId="40FC66DC" w14:textId="2D20D120" w:rsidR="008423E4" w:rsidRDefault="00603620" w:rsidP="00E663F1">
            <w:pPr>
              <w:jc w:val="right"/>
            </w:pPr>
            <w:r>
              <w:t>Committee Report (Unamended)</w:t>
            </w:r>
          </w:p>
        </w:tc>
      </w:tr>
    </w:tbl>
    <w:p w14:paraId="3D77A2B9" w14:textId="77777777" w:rsidR="008423E4" w:rsidRDefault="008423E4" w:rsidP="00E663F1">
      <w:pPr>
        <w:tabs>
          <w:tab w:val="right" w:pos="9360"/>
        </w:tabs>
      </w:pPr>
    </w:p>
    <w:p w14:paraId="31AA5DE9" w14:textId="77777777" w:rsidR="008423E4" w:rsidRDefault="008423E4" w:rsidP="00E663F1"/>
    <w:p w14:paraId="6FE19127" w14:textId="77777777" w:rsidR="008423E4" w:rsidRDefault="008423E4" w:rsidP="00E663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23500" w14:paraId="1A3A1F6C" w14:textId="77777777" w:rsidTr="001D5758">
        <w:tc>
          <w:tcPr>
            <w:tcW w:w="9360" w:type="dxa"/>
          </w:tcPr>
          <w:p w14:paraId="3B8A7962" w14:textId="77777777" w:rsidR="008423E4" w:rsidRPr="00A8133F" w:rsidRDefault="00603620" w:rsidP="00E663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5F73F3" w14:textId="77777777" w:rsidR="008423E4" w:rsidRPr="003157A7" w:rsidRDefault="008423E4" w:rsidP="00E663F1">
            <w:pPr>
              <w:rPr>
                <w:sz w:val="18"/>
                <w:szCs w:val="18"/>
              </w:rPr>
            </w:pPr>
          </w:p>
          <w:p w14:paraId="4AF018D4" w14:textId="1307661F" w:rsidR="008423E4" w:rsidRDefault="00603620" w:rsidP="00E663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law entitles a </w:t>
            </w:r>
            <w:r w:rsidRPr="00855C21">
              <w:t xml:space="preserve">person who is being harmed or is in danger of being harmed by a violation or threatened violation of </w:t>
            </w:r>
            <w:r>
              <w:t xml:space="preserve">the Election Code </w:t>
            </w:r>
            <w:r w:rsidR="007138EE">
              <w:t xml:space="preserve">to appropriate injunctive relief to prevent </w:t>
            </w:r>
            <w:r>
              <w:t xml:space="preserve">such </w:t>
            </w:r>
            <w:r w:rsidR="007138EE">
              <w:t xml:space="preserve">a violation from continuing or occurring. </w:t>
            </w:r>
            <w:r w:rsidR="00883DB7">
              <w:t xml:space="preserve">The bill </w:t>
            </w:r>
            <w:r w:rsidR="008C643E">
              <w:t xml:space="preserve">sponsor </w:t>
            </w:r>
            <w:r w:rsidR="00883DB7">
              <w:t>has informed the committee that d</w:t>
            </w:r>
            <w:r w:rsidR="007138EE">
              <w:t xml:space="preserve">uring the November 2022 </w:t>
            </w:r>
            <w:r w:rsidR="00104A7C">
              <w:t xml:space="preserve">general </w:t>
            </w:r>
            <w:r w:rsidR="007138EE">
              <w:t xml:space="preserve">election in Harris County, a temporary restraining order </w:t>
            </w:r>
            <w:r w:rsidR="00883DB7">
              <w:t xml:space="preserve">was </w:t>
            </w:r>
            <w:r w:rsidR="007138EE">
              <w:t>issued to keep the polls open an hour later. The</w:t>
            </w:r>
            <w:r w:rsidR="00883DB7">
              <w:t xml:space="preserve"> bill </w:t>
            </w:r>
            <w:r w:rsidR="008C643E">
              <w:t xml:space="preserve">sponsor </w:t>
            </w:r>
            <w:r w:rsidR="00883DB7">
              <w:t>has also informed the committee that the</w:t>
            </w:r>
            <w:r w:rsidR="007138EE">
              <w:t xml:space="preserve"> Office of the Attorney General </w:t>
            </w:r>
            <w:r w:rsidR="002155F0">
              <w:t xml:space="preserve">(OAG) </w:t>
            </w:r>
            <w:r w:rsidR="007138EE">
              <w:t xml:space="preserve">was not notified </w:t>
            </w:r>
            <w:r w:rsidR="002155F0">
              <w:t xml:space="preserve">by the court </w:t>
            </w:r>
            <w:r w:rsidR="007138EE">
              <w:t xml:space="preserve">of </w:t>
            </w:r>
            <w:r w:rsidR="00883DB7">
              <w:t xml:space="preserve">that </w:t>
            </w:r>
            <w:r w:rsidR="007138EE">
              <w:t xml:space="preserve">hearing or </w:t>
            </w:r>
            <w:r w:rsidR="002155F0">
              <w:t xml:space="preserve">its </w:t>
            </w:r>
            <w:r w:rsidR="007138EE">
              <w:t>results even though the election was concerning federal and state offices</w:t>
            </w:r>
            <w:r w:rsidR="00104A7C">
              <w:t xml:space="preserve"> and that s</w:t>
            </w:r>
            <w:r w:rsidR="007138EE">
              <w:t xml:space="preserve">ince the </w:t>
            </w:r>
            <w:r w:rsidR="00104A7C">
              <w:t>OAG</w:t>
            </w:r>
            <w:r w:rsidR="007138EE">
              <w:t xml:space="preserve"> is the design</w:t>
            </w:r>
            <w:r w:rsidR="00A202EE">
              <w:t>at</w:t>
            </w:r>
            <w:r w:rsidR="007138EE">
              <w:t xml:space="preserve">ed state agency to defend Texas law, </w:t>
            </w:r>
            <w:r w:rsidR="00104A7C">
              <w:t>there is a need for the OAG to have an opportunity to weigh in and protect state election interests</w:t>
            </w:r>
            <w:r w:rsidR="007138EE">
              <w:t xml:space="preserve">. </w:t>
            </w:r>
            <w:r w:rsidR="009D5847">
              <w:t>S.B</w:t>
            </w:r>
            <w:r w:rsidR="00F0399A">
              <w:t>. </w:t>
            </w:r>
            <w:r w:rsidR="009D5847">
              <w:t>509</w:t>
            </w:r>
            <w:r w:rsidR="007138EE">
              <w:t xml:space="preserve"> </w:t>
            </w:r>
            <w:r w:rsidR="002155F0">
              <w:t xml:space="preserve">seeks to provide the OAG with </w:t>
            </w:r>
            <w:r w:rsidR="00104A7C">
              <w:t>this</w:t>
            </w:r>
            <w:r w:rsidR="002155F0">
              <w:t xml:space="preserve"> </w:t>
            </w:r>
            <w:r w:rsidR="00104A7C">
              <w:t xml:space="preserve">opportunity </w:t>
            </w:r>
            <w:r w:rsidR="002155F0">
              <w:t>by requiring</w:t>
            </w:r>
            <w:r w:rsidR="007138EE">
              <w:t xml:space="preserve"> </w:t>
            </w:r>
            <w:r w:rsidR="00412976">
              <w:t>a court to electronically notify the OAG before an action seeking a temporary restraining order under</w:t>
            </w:r>
            <w:r w:rsidR="002155F0">
              <w:t xml:space="preserve"> state election law.</w:t>
            </w:r>
          </w:p>
          <w:p w14:paraId="77F557E7" w14:textId="77777777" w:rsidR="008423E4" w:rsidRPr="003157A7" w:rsidRDefault="008423E4" w:rsidP="00E663F1">
            <w:pPr>
              <w:rPr>
                <w:b/>
                <w:sz w:val="18"/>
                <w:szCs w:val="18"/>
              </w:rPr>
            </w:pPr>
          </w:p>
        </w:tc>
      </w:tr>
      <w:tr w:rsidR="00A23500" w14:paraId="1843F5CC" w14:textId="77777777" w:rsidTr="001D5758">
        <w:tc>
          <w:tcPr>
            <w:tcW w:w="9360" w:type="dxa"/>
          </w:tcPr>
          <w:p w14:paraId="42D4384B" w14:textId="77777777" w:rsidR="0017725B" w:rsidRDefault="00603620" w:rsidP="00E663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8068B7" w14:textId="77777777" w:rsidR="0017725B" w:rsidRPr="003157A7" w:rsidRDefault="0017725B" w:rsidP="00E663F1">
            <w:pPr>
              <w:rPr>
                <w:b/>
                <w:sz w:val="18"/>
                <w:szCs w:val="18"/>
                <w:u w:val="single"/>
              </w:rPr>
            </w:pPr>
          </w:p>
          <w:p w14:paraId="1BB397F8" w14:textId="53D9D6C4" w:rsidR="00761F66" w:rsidRPr="00761F66" w:rsidRDefault="00603620" w:rsidP="00E663F1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0B7DA71" w14:textId="77777777" w:rsidR="0017725B" w:rsidRPr="003157A7" w:rsidRDefault="0017725B" w:rsidP="00E663F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A23500" w14:paraId="73CE3C9C" w14:textId="77777777" w:rsidTr="001D5758">
        <w:tc>
          <w:tcPr>
            <w:tcW w:w="9360" w:type="dxa"/>
          </w:tcPr>
          <w:p w14:paraId="0239574C" w14:textId="77777777" w:rsidR="008423E4" w:rsidRPr="00A8133F" w:rsidRDefault="00603620" w:rsidP="00E663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D6BD52" w14:textId="77777777" w:rsidR="008423E4" w:rsidRPr="003157A7" w:rsidRDefault="008423E4" w:rsidP="00E663F1">
            <w:pPr>
              <w:rPr>
                <w:sz w:val="18"/>
                <w:szCs w:val="18"/>
              </w:rPr>
            </w:pPr>
          </w:p>
          <w:p w14:paraId="1E7485A2" w14:textId="77376852" w:rsidR="00761F66" w:rsidRDefault="00603620" w:rsidP="00E663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8CC0D3" w14:textId="77777777" w:rsidR="008423E4" w:rsidRPr="003157A7" w:rsidRDefault="008423E4" w:rsidP="00E663F1">
            <w:pPr>
              <w:rPr>
                <w:b/>
                <w:sz w:val="18"/>
                <w:szCs w:val="18"/>
              </w:rPr>
            </w:pPr>
          </w:p>
        </w:tc>
      </w:tr>
      <w:tr w:rsidR="00A23500" w14:paraId="79AB79B5" w14:textId="77777777" w:rsidTr="001D5758">
        <w:tc>
          <w:tcPr>
            <w:tcW w:w="9360" w:type="dxa"/>
          </w:tcPr>
          <w:p w14:paraId="49F82455" w14:textId="77777777" w:rsidR="008423E4" w:rsidRPr="00A8133F" w:rsidRDefault="00603620" w:rsidP="00E663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96ADDD" w14:textId="169C7695" w:rsidR="008423E4" w:rsidRPr="003157A7" w:rsidRDefault="00603620" w:rsidP="00E663F1">
            <w:pPr>
              <w:rPr>
                <w:sz w:val="18"/>
                <w:szCs w:val="18"/>
              </w:rPr>
            </w:pPr>
            <w:r>
              <w:t xml:space="preserve"> </w:t>
            </w:r>
          </w:p>
          <w:p w14:paraId="1FC389FD" w14:textId="07AE2F4A" w:rsidR="00656FE9" w:rsidRDefault="00603620" w:rsidP="00E663F1">
            <w:pPr>
              <w:jc w:val="both"/>
            </w:pPr>
            <w:r>
              <w:t>S.B. 509</w:t>
            </w:r>
            <w:r w:rsidR="00E552E8">
              <w:t xml:space="preserve"> amends the </w:t>
            </w:r>
            <w:r w:rsidR="00E552E8" w:rsidRPr="00E552E8">
              <w:t>Election Code</w:t>
            </w:r>
            <w:r w:rsidR="00E552E8">
              <w:t xml:space="preserve"> to require a court</w:t>
            </w:r>
            <w:r w:rsidR="00B83CC4">
              <w:t xml:space="preserve">, as soon as practicable before a hearing in an action under that code seeking a temporary restraining order, </w:t>
            </w:r>
            <w:r w:rsidR="00E552E8">
              <w:t xml:space="preserve">to </w:t>
            </w:r>
            <w:r w:rsidR="00017A2A">
              <w:t xml:space="preserve">electronically </w:t>
            </w:r>
            <w:r w:rsidR="00E552E8" w:rsidRPr="00E552E8">
              <w:t xml:space="preserve">notify the attorney general </w:t>
            </w:r>
            <w:r w:rsidR="00775A7A">
              <w:t xml:space="preserve">of </w:t>
            </w:r>
            <w:r w:rsidR="00B83CC4">
              <w:t>the</w:t>
            </w:r>
            <w:r w:rsidR="00B83CC4" w:rsidRPr="00E552E8">
              <w:t xml:space="preserve"> </w:t>
            </w:r>
            <w:r w:rsidR="00E552E8" w:rsidRPr="00E552E8">
              <w:t xml:space="preserve">hearing </w:t>
            </w:r>
            <w:r w:rsidR="00BA3C43">
              <w:t xml:space="preserve">and </w:t>
            </w:r>
            <w:r w:rsidR="00B83CC4">
              <w:t xml:space="preserve">to </w:t>
            </w:r>
            <w:r w:rsidR="00BA3C43">
              <w:t xml:space="preserve">require the attorney general to designate an </w:t>
            </w:r>
            <w:r w:rsidR="000E3121" w:rsidRPr="000E3121">
              <w:t>e</w:t>
            </w:r>
            <w:r w:rsidR="00B23E2A">
              <w:t>-</w:t>
            </w:r>
            <w:r w:rsidR="000E3121" w:rsidRPr="000E3121">
              <w:t xml:space="preserve">mail address </w:t>
            </w:r>
            <w:r w:rsidR="00BA3C43">
              <w:t xml:space="preserve">at </w:t>
            </w:r>
            <w:r w:rsidR="000E3121" w:rsidRPr="000E3121">
              <w:t>which to receive such a notice</w:t>
            </w:r>
            <w:r w:rsidR="00E552E8">
              <w:t>.</w:t>
            </w:r>
            <w:r w:rsidR="00C77F4C">
              <w:t xml:space="preserve"> </w:t>
            </w:r>
            <w:r w:rsidR="00017A2A">
              <w:t xml:space="preserve">The bill </w:t>
            </w:r>
            <w:r w:rsidR="00B83CC4">
              <w:t>prohibits</w:t>
            </w:r>
            <w:r w:rsidR="00017A2A">
              <w:t xml:space="preserve"> a court </w:t>
            </w:r>
            <w:r w:rsidR="00B83CC4">
              <w:t>from</w:t>
            </w:r>
            <w:r w:rsidR="00017A2A">
              <w:t xml:space="preserve"> hold</w:t>
            </w:r>
            <w:r w:rsidR="00B83CC4">
              <w:t>ing</w:t>
            </w:r>
            <w:r w:rsidR="00CA62BE">
              <w:t xml:space="preserve"> </w:t>
            </w:r>
            <w:r w:rsidR="000E1E85">
              <w:t xml:space="preserve">such </w:t>
            </w:r>
            <w:r w:rsidR="00CA62BE" w:rsidRPr="00CA62BE">
              <w:t xml:space="preserve">a hearing sooner than two hours after the court provides </w:t>
            </w:r>
            <w:r w:rsidR="00DA4F5E">
              <w:t>the required</w:t>
            </w:r>
            <w:r w:rsidR="00B83CC4">
              <w:t xml:space="preserve"> e</w:t>
            </w:r>
            <w:r w:rsidR="00F0399A">
              <w:t>-</w:t>
            </w:r>
            <w:r w:rsidR="00B83CC4">
              <w:t>mail</w:t>
            </w:r>
            <w:r w:rsidR="000942D5">
              <w:t xml:space="preserve"> </w:t>
            </w:r>
            <w:r w:rsidR="00CA62BE" w:rsidRPr="00CA62BE">
              <w:t>notice to the attorney general</w:t>
            </w:r>
            <w:r w:rsidR="00BA3C43">
              <w:t xml:space="preserve"> but</w:t>
            </w:r>
            <w:r w:rsidR="00CA62BE">
              <w:t xml:space="preserve"> </w:t>
            </w:r>
            <w:r w:rsidR="00BA3C43">
              <w:t>authorizes the</w:t>
            </w:r>
            <w:r w:rsidR="00CA62BE">
              <w:t xml:space="preserve"> attorney general, after receiving</w:t>
            </w:r>
            <w:r w:rsidR="00AF20E2">
              <w:t xml:space="preserve"> the</w:t>
            </w:r>
            <w:r w:rsidR="00CA62BE">
              <w:t xml:space="preserve"> notice, </w:t>
            </w:r>
            <w:r w:rsidR="00BA3C43">
              <w:t>to</w:t>
            </w:r>
            <w:r w:rsidR="00CA62BE">
              <w:t xml:space="preserve"> waive </w:t>
            </w:r>
            <w:r w:rsidR="00AF20E2">
              <w:t>th</w:t>
            </w:r>
            <w:r w:rsidR="00051E07">
              <w:t>e requisite two-hour window</w:t>
            </w:r>
            <w:r w:rsidR="00CA62BE">
              <w:t xml:space="preserve">. The bill requires a court to </w:t>
            </w:r>
            <w:r w:rsidR="00CA62BE" w:rsidRPr="00CA62BE">
              <w:t>allow the attorney general to participate remotely in a hearing in</w:t>
            </w:r>
            <w:r w:rsidR="00051E07">
              <w:t xml:space="preserve"> such</w:t>
            </w:r>
            <w:r w:rsidR="00CA62BE" w:rsidRPr="00CA62BE">
              <w:t xml:space="preserve"> an action seeking a temporary restraining order, using any reasonably available method.</w:t>
            </w:r>
            <w:r w:rsidR="000942D5">
              <w:t xml:space="preserve"> </w:t>
            </w:r>
            <w:r w:rsidR="000942D5" w:rsidRPr="000942D5">
              <w:t>A temporary restraining order issued in violation of th</w:t>
            </w:r>
            <w:r w:rsidR="000942D5">
              <w:t xml:space="preserve">e bill's provisions </w:t>
            </w:r>
            <w:r w:rsidR="000942D5" w:rsidRPr="000942D5">
              <w:t>is void and unenforceable.</w:t>
            </w:r>
          </w:p>
          <w:p w14:paraId="1DFFCEC1" w14:textId="0E4EA999" w:rsidR="00E552E8" w:rsidRPr="003157A7" w:rsidRDefault="00E552E8" w:rsidP="00E663F1">
            <w:pPr>
              <w:rPr>
                <w:b/>
                <w:sz w:val="18"/>
                <w:szCs w:val="18"/>
              </w:rPr>
            </w:pPr>
          </w:p>
        </w:tc>
      </w:tr>
      <w:tr w:rsidR="00A23500" w14:paraId="405965DB" w14:textId="77777777" w:rsidTr="001D5758">
        <w:tc>
          <w:tcPr>
            <w:tcW w:w="9360" w:type="dxa"/>
          </w:tcPr>
          <w:p w14:paraId="42690C6A" w14:textId="77777777" w:rsidR="008423E4" w:rsidRPr="00A8133F" w:rsidRDefault="00603620" w:rsidP="00E663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0E1B7E" w14:textId="77777777" w:rsidR="008423E4" w:rsidRPr="003157A7" w:rsidRDefault="008423E4" w:rsidP="00E663F1">
            <w:pPr>
              <w:rPr>
                <w:sz w:val="18"/>
                <w:szCs w:val="18"/>
              </w:rPr>
            </w:pPr>
          </w:p>
          <w:p w14:paraId="5F419A92" w14:textId="74ED86CD" w:rsidR="008423E4" w:rsidRPr="003624F2" w:rsidRDefault="00603620" w:rsidP="00E663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2D3BF28" w14:textId="77777777" w:rsidR="008423E4" w:rsidRPr="003157A7" w:rsidRDefault="008423E4" w:rsidP="00E663F1">
            <w:pPr>
              <w:rPr>
                <w:b/>
                <w:sz w:val="18"/>
                <w:szCs w:val="18"/>
              </w:rPr>
            </w:pPr>
          </w:p>
        </w:tc>
      </w:tr>
      <w:tr w:rsidR="00A23500" w14:paraId="29D54EBC" w14:textId="77777777" w:rsidTr="001D5758">
        <w:tc>
          <w:tcPr>
            <w:tcW w:w="9360" w:type="dxa"/>
          </w:tcPr>
          <w:p w14:paraId="20D516B8" w14:textId="2506FA72" w:rsidR="000E3121" w:rsidRPr="00310086" w:rsidRDefault="000E3121" w:rsidP="00E663F1">
            <w:pPr>
              <w:jc w:val="both"/>
              <w:rPr>
                <w:b/>
                <w:u w:val="single"/>
              </w:rPr>
            </w:pPr>
          </w:p>
        </w:tc>
      </w:tr>
    </w:tbl>
    <w:p w14:paraId="40A55402" w14:textId="77777777" w:rsidR="008423E4" w:rsidRPr="00BE0E75" w:rsidRDefault="008423E4" w:rsidP="00E663F1">
      <w:pPr>
        <w:jc w:val="both"/>
        <w:rPr>
          <w:rFonts w:ascii="Arial" w:hAnsi="Arial"/>
          <w:sz w:val="16"/>
          <w:szCs w:val="16"/>
        </w:rPr>
      </w:pPr>
    </w:p>
    <w:p w14:paraId="21949537" w14:textId="77777777" w:rsidR="004108C3" w:rsidRPr="008423E4" w:rsidRDefault="004108C3" w:rsidP="00E663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3896" w14:textId="77777777" w:rsidR="00603620" w:rsidRDefault="00603620">
      <w:r>
        <w:separator/>
      </w:r>
    </w:p>
  </w:endnote>
  <w:endnote w:type="continuationSeparator" w:id="0">
    <w:p w14:paraId="25E7ACFC" w14:textId="77777777" w:rsidR="00603620" w:rsidRDefault="006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AA4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23500" w14:paraId="6E119F88" w14:textId="77777777" w:rsidTr="009C1E9A">
      <w:trPr>
        <w:cantSplit/>
      </w:trPr>
      <w:tc>
        <w:tcPr>
          <w:tcW w:w="0" w:type="pct"/>
        </w:tcPr>
        <w:p w14:paraId="730FCA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CDA0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13D1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1110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C0DE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3500" w14:paraId="77777533" w14:textId="77777777" w:rsidTr="009C1E9A">
      <w:trPr>
        <w:cantSplit/>
      </w:trPr>
      <w:tc>
        <w:tcPr>
          <w:tcW w:w="0" w:type="pct"/>
        </w:tcPr>
        <w:p w14:paraId="352216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B59F81" w14:textId="1BDE8F63" w:rsidR="00EC379B" w:rsidRPr="009C1E9A" w:rsidRDefault="006036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27088-D</w:t>
          </w:r>
        </w:p>
      </w:tc>
      <w:tc>
        <w:tcPr>
          <w:tcW w:w="2453" w:type="pct"/>
        </w:tcPr>
        <w:p w14:paraId="0DB51872" w14:textId="2B7BCC3E" w:rsidR="00EC379B" w:rsidRDefault="006036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17FD">
            <w:t>25.120.238</w:t>
          </w:r>
          <w:r>
            <w:fldChar w:fldCharType="end"/>
          </w:r>
        </w:p>
      </w:tc>
    </w:tr>
    <w:tr w:rsidR="00A23500" w14:paraId="20E59329" w14:textId="77777777" w:rsidTr="009C1E9A">
      <w:trPr>
        <w:cantSplit/>
      </w:trPr>
      <w:tc>
        <w:tcPr>
          <w:tcW w:w="0" w:type="pct"/>
        </w:tcPr>
        <w:p w14:paraId="3CD810A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048D18" w14:textId="0DBFD98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A5C0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C9DB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3500" w14:paraId="5F5765C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4B551A" w14:textId="77777777" w:rsidR="00EC379B" w:rsidRDefault="006036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0C8B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E78B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94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E90A" w14:textId="77777777" w:rsidR="00603620" w:rsidRDefault="00603620">
      <w:r>
        <w:separator/>
      </w:r>
    </w:p>
  </w:footnote>
  <w:footnote w:type="continuationSeparator" w:id="0">
    <w:p w14:paraId="182EA46E" w14:textId="77777777" w:rsidR="00603620" w:rsidRDefault="0060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C4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EA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2ED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C32"/>
    <w:multiLevelType w:val="hybridMultilevel"/>
    <w:tmpl w:val="D17E798E"/>
    <w:lvl w:ilvl="0" w:tplc="9EF46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0C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E2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6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CB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A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A5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E8"/>
    <w:rsid w:val="00000A70"/>
    <w:rsid w:val="000032B8"/>
    <w:rsid w:val="00003B06"/>
    <w:rsid w:val="000054B9"/>
    <w:rsid w:val="00007461"/>
    <w:rsid w:val="0001117E"/>
    <w:rsid w:val="0001125F"/>
    <w:rsid w:val="00012DC0"/>
    <w:rsid w:val="0001338E"/>
    <w:rsid w:val="00013D24"/>
    <w:rsid w:val="00014AF0"/>
    <w:rsid w:val="000155D6"/>
    <w:rsid w:val="00015D4E"/>
    <w:rsid w:val="00017A2A"/>
    <w:rsid w:val="00020C1E"/>
    <w:rsid w:val="00020E9B"/>
    <w:rsid w:val="000236C1"/>
    <w:rsid w:val="000236EC"/>
    <w:rsid w:val="0002380A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E0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2D5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ABB"/>
    <w:rsid w:val="000D46E5"/>
    <w:rsid w:val="000D769C"/>
    <w:rsid w:val="000E1976"/>
    <w:rsid w:val="000E1E85"/>
    <w:rsid w:val="000E20F1"/>
    <w:rsid w:val="000E3121"/>
    <w:rsid w:val="000E5B20"/>
    <w:rsid w:val="000E7C14"/>
    <w:rsid w:val="000F094C"/>
    <w:rsid w:val="000F1392"/>
    <w:rsid w:val="000F18A2"/>
    <w:rsid w:val="000F2A7F"/>
    <w:rsid w:val="000F3DBD"/>
    <w:rsid w:val="000F3DCD"/>
    <w:rsid w:val="000F5843"/>
    <w:rsid w:val="000F6A06"/>
    <w:rsid w:val="0010154D"/>
    <w:rsid w:val="00102D3F"/>
    <w:rsid w:val="00102EC7"/>
    <w:rsid w:val="0010347D"/>
    <w:rsid w:val="00104A7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A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51D"/>
    <w:rsid w:val="00171BF2"/>
    <w:rsid w:val="0017347B"/>
    <w:rsid w:val="0017725B"/>
    <w:rsid w:val="0018050C"/>
    <w:rsid w:val="0018117F"/>
    <w:rsid w:val="001824ED"/>
    <w:rsid w:val="00183262"/>
    <w:rsid w:val="0018478F"/>
    <w:rsid w:val="0018485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5CE7"/>
    <w:rsid w:val="001C60B5"/>
    <w:rsid w:val="001C61B0"/>
    <w:rsid w:val="001C6439"/>
    <w:rsid w:val="001C7957"/>
    <w:rsid w:val="001C7DB8"/>
    <w:rsid w:val="001C7EA8"/>
    <w:rsid w:val="001D1711"/>
    <w:rsid w:val="001D2A01"/>
    <w:rsid w:val="001D2EF6"/>
    <w:rsid w:val="001D37A8"/>
    <w:rsid w:val="001D462E"/>
    <w:rsid w:val="001D575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5F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698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A97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44F"/>
    <w:rsid w:val="002D305A"/>
    <w:rsid w:val="002D42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086"/>
    <w:rsid w:val="00313DFE"/>
    <w:rsid w:val="003143B2"/>
    <w:rsid w:val="00314821"/>
    <w:rsid w:val="0031483F"/>
    <w:rsid w:val="0031510A"/>
    <w:rsid w:val="003157A7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708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56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976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2E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005"/>
    <w:rsid w:val="00474927"/>
    <w:rsid w:val="00475913"/>
    <w:rsid w:val="00480080"/>
    <w:rsid w:val="004824A7"/>
    <w:rsid w:val="00483AF0"/>
    <w:rsid w:val="00484167"/>
    <w:rsid w:val="00485B7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C4B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37F2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70A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095"/>
    <w:rsid w:val="005F5679"/>
    <w:rsid w:val="005F5FDF"/>
    <w:rsid w:val="005F6960"/>
    <w:rsid w:val="005F7000"/>
    <w:rsid w:val="005F7AAA"/>
    <w:rsid w:val="00600BAA"/>
    <w:rsid w:val="006012DA"/>
    <w:rsid w:val="00603620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E40"/>
    <w:rsid w:val="00656FE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A2C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D01"/>
    <w:rsid w:val="007025C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8E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F66"/>
    <w:rsid w:val="00764786"/>
    <w:rsid w:val="00766E12"/>
    <w:rsid w:val="00767E73"/>
    <w:rsid w:val="0077098E"/>
    <w:rsid w:val="00771287"/>
    <w:rsid w:val="0077149E"/>
    <w:rsid w:val="00775A7A"/>
    <w:rsid w:val="00775D8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73C"/>
    <w:rsid w:val="007C3220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82E"/>
    <w:rsid w:val="00813B36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C21"/>
    <w:rsid w:val="0085797D"/>
    <w:rsid w:val="00860020"/>
    <w:rsid w:val="008618E7"/>
    <w:rsid w:val="00861995"/>
    <w:rsid w:val="00862136"/>
    <w:rsid w:val="0086231A"/>
    <w:rsid w:val="0086477C"/>
    <w:rsid w:val="00864BAD"/>
    <w:rsid w:val="00866D86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DB7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43E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8DF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7FD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84C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C9B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502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847"/>
    <w:rsid w:val="009D5A41"/>
    <w:rsid w:val="009E13BF"/>
    <w:rsid w:val="009E1C80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2EE"/>
    <w:rsid w:val="00A220FF"/>
    <w:rsid w:val="00A227E0"/>
    <w:rsid w:val="00A232E4"/>
    <w:rsid w:val="00A23500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8E4"/>
    <w:rsid w:val="00A96F28"/>
    <w:rsid w:val="00AA18AE"/>
    <w:rsid w:val="00AA228B"/>
    <w:rsid w:val="00AA3D67"/>
    <w:rsid w:val="00AA597A"/>
    <w:rsid w:val="00AA66AD"/>
    <w:rsid w:val="00AA67A3"/>
    <w:rsid w:val="00AA7E52"/>
    <w:rsid w:val="00AB1655"/>
    <w:rsid w:val="00AB1873"/>
    <w:rsid w:val="00AB2C05"/>
    <w:rsid w:val="00AB3536"/>
    <w:rsid w:val="00AB4111"/>
    <w:rsid w:val="00AB474B"/>
    <w:rsid w:val="00AB5CCC"/>
    <w:rsid w:val="00AB74E2"/>
    <w:rsid w:val="00AC211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0E2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3E2A"/>
    <w:rsid w:val="00B25612"/>
    <w:rsid w:val="00B26437"/>
    <w:rsid w:val="00B2678E"/>
    <w:rsid w:val="00B30647"/>
    <w:rsid w:val="00B31F0E"/>
    <w:rsid w:val="00B33E12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D19"/>
    <w:rsid w:val="00B73BB4"/>
    <w:rsid w:val="00B80532"/>
    <w:rsid w:val="00B82039"/>
    <w:rsid w:val="00B82454"/>
    <w:rsid w:val="00B83CC4"/>
    <w:rsid w:val="00B90097"/>
    <w:rsid w:val="00B90999"/>
    <w:rsid w:val="00B91AD7"/>
    <w:rsid w:val="00B92D23"/>
    <w:rsid w:val="00B95BC8"/>
    <w:rsid w:val="00B96E87"/>
    <w:rsid w:val="00BA146A"/>
    <w:rsid w:val="00BA32EE"/>
    <w:rsid w:val="00BA3C4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4B8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F4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BE"/>
    <w:rsid w:val="00CA7D7B"/>
    <w:rsid w:val="00CB0131"/>
    <w:rsid w:val="00CB0AE4"/>
    <w:rsid w:val="00CB0C21"/>
    <w:rsid w:val="00CB0D1A"/>
    <w:rsid w:val="00CB1445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AF3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BB5"/>
    <w:rsid w:val="00D001B1"/>
    <w:rsid w:val="00D0224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A4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F5E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58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C6A"/>
    <w:rsid w:val="00E2043E"/>
    <w:rsid w:val="00E20520"/>
    <w:rsid w:val="00E21D55"/>
    <w:rsid w:val="00E21FDC"/>
    <w:rsid w:val="00E2551E"/>
    <w:rsid w:val="00E2674A"/>
    <w:rsid w:val="00E26B13"/>
    <w:rsid w:val="00E27E5A"/>
    <w:rsid w:val="00E31135"/>
    <w:rsid w:val="00E317BA"/>
    <w:rsid w:val="00E3469B"/>
    <w:rsid w:val="00E3679D"/>
    <w:rsid w:val="00E3795D"/>
    <w:rsid w:val="00E4098A"/>
    <w:rsid w:val="00E41306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2E8"/>
    <w:rsid w:val="00E55DA0"/>
    <w:rsid w:val="00E56033"/>
    <w:rsid w:val="00E61159"/>
    <w:rsid w:val="00E625DA"/>
    <w:rsid w:val="00E634DC"/>
    <w:rsid w:val="00E663F1"/>
    <w:rsid w:val="00E667F3"/>
    <w:rsid w:val="00E67794"/>
    <w:rsid w:val="00E67C7D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442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AAE"/>
    <w:rsid w:val="00EC02A2"/>
    <w:rsid w:val="00EC379B"/>
    <w:rsid w:val="00EC37DF"/>
    <w:rsid w:val="00EC3A99"/>
    <w:rsid w:val="00EC41B1"/>
    <w:rsid w:val="00EC5C1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4D8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99A"/>
    <w:rsid w:val="00F0417E"/>
    <w:rsid w:val="00F05397"/>
    <w:rsid w:val="00F0638C"/>
    <w:rsid w:val="00F1174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265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088"/>
    <w:rsid w:val="00FA32FC"/>
    <w:rsid w:val="00FA40E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22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978208-65D5-42DF-A3B8-E23A6F6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7A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A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A46"/>
    <w:rPr>
      <w:b/>
      <w:bCs/>
    </w:rPr>
  </w:style>
  <w:style w:type="paragraph" w:styleId="Revision">
    <w:name w:val="Revision"/>
    <w:hidden/>
    <w:uiPriority w:val="99"/>
    <w:semiHidden/>
    <w:rsid w:val="008621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4F5E"/>
    <w:pPr>
      <w:ind w:left="720"/>
      <w:contextualSpacing/>
    </w:pPr>
  </w:style>
  <w:style w:type="character" w:styleId="Hyperlink">
    <w:name w:val="Hyperlink"/>
    <w:basedOn w:val="DefaultParagraphFont"/>
    <w:unhideWhenUsed/>
    <w:rsid w:val="00883D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SB00509 (Committee Report (Unamended))</vt:lpstr>
    </vt:vector>
  </TitlesOfParts>
  <Company>State of Texas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27088</dc:subject>
  <dc:creator>State of Texas</dc:creator>
  <dc:description>SB 509 by Bettencourt-(H)Elections</dc:description>
  <cp:lastModifiedBy>Damian Duarte</cp:lastModifiedBy>
  <cp:revision>2</cp:revision>
  <cp:lastPrinted>2003-11-26T17:21:00Z</cp:lastPrinted>
  <dcterms:created xsi:type="dcterms:W3CDTF">2025-04-30T21:54:00Z</dcterms:created>
  <dcterms:modified xsi:type="dcterms:W3CDTF">2025-04-30T21:54:00Z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25.120.238</vt:lpwstr>
  </property>
</Properties>
</file>