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404F3" w14:paraId="027C7158" w14:textId="77777777" w:rsidTr="00345119">
        <w:tc>
          <w:tcPr>
            <w:tcW w:w="9576" w:type="dxa"/>
            <w:noWrap/>
          </w:tcPr>
          <w:p w14:paraId="0D409AB9" w14:textId="77777777" w:rsidR="008423E4" w:rsidRPr="0022177D" w:rsidRDefault="002408DF" w:rsidP="002963E0">
            <w:pPr>
              <w:pStyle w:val="Heading1"/>
            </w:pPr>
            <w:r w:rsidRPr="00631897">
              <w:t>BILL ANALYSIS</w:t>
            </w:r>
          </w:p>
        </w:tc>
      </w:tr>
    </w:tbl>
    <w:p w14:paraId="7B14F10A" w14:textId="77777777" w:rsidR="008423E4" w:rsidRPr="0022177D" w:rsidRDefault="008423E4" w:rsidP="002963E0">
      <w:pPr>
        <w:jc w:val="center"/>
      </w:pPr>
    </w:p>
    <w:p w14:paraId="6D70160D" w14:textId="77777777" w:rsidR="008423E4" w:rsidRPr="00B31F0E" w:rsidRDefault="008423E4" w:rsidP="002963E0"/>
    <w:p w14:paraId="000AE697" w14:textId="77777777" w:rsidR="008423E4" w:rsidRPr="00742794" w:rsidRDefault="008423E4" w:rsidP="002963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404F3" w14:paraId="622B7AEA" w14:textId="77777777" w:rsidTr="00345119">
        <w:tc>
          <w:tcPr>
            <w:tcW w:w="9576" w:type="dxa"/>
          </w:tcPr>
          <w:p w14:paraId="3D3CD7B1" w14:textId="0DF0B990" w:rsidR="008423E4" w:rsidRPr="00861995" w:rsidRDefault="002408DF" w:rsidP="002963E0">
            <w:pPr>
              <w:jc w:val="right"/>
            </w:pPr>
            <w:r>
              <w:t>S.B. 614</w:t>
            </w:r>
          </w:p>
        </w:tc>
      </w:tr>
      <w:tr w:rsidR="001404F3" w14:paraId="4EF5BAEE" w14:textId="77777777" w:rsidTr="00345119">
        <w:tc>
          <w:tcPr>
            <w:tcW w:w="9576" w:type="dxa"/>
          </w:tcPr>
          <w:p w14:paraId="391753C7" w14:textId="5ECCE2BC" w:rsidR="008423E4" w:rsidRPr="00861995" w:rsidRDefault="002408DF" w:rsidP="002963E0">
            <w:pPr>
              <w:jc w:val="right"/>
            </w:pPr>
            <w:r>
              <w:t xml:space="preserve">By: </w:t>
            </w:r>
            <w:r w:rsidR="00E204AD">
              <w:t>Hinojosa, Juan "Chuy"</w:t>
            </w:r>
          </w:p>
        </w:tc>
      </w:tr>
      <w:tr w:rsidR="001404F3" w14:paraId="5F3DD1E2" w14:textId="77777777" w:rsidTr="00345119">
        <w:tc>
          <w:tcPr>
            <w:tcW w:w="9576" w:type="dxa"/>
          </w:tcPr>
          <w:p w14:paraId="44111ACC" w14:textId="27D855F6" w:rsidR="008423E4" w:rsidRPr="00861995" w:rsidRDefault="002408DF" w:rsidP="002963E0">
            <w:pPr>
              <w:jc w:val="right"/>
            </w:pPr>
            <w:r>
              <w:t>Criminal Jurisprudence</w:t>
            </w:r>
          </w:p>
        </w:tc>
      </w:tr>
      <w:tr w:rsidR="001404F3" w14:paraId="47489F45" w14:textId="77777777" w:rsidTr="00345119">
        <w:tc>
          <w:tcPr>
            <w:tcW w:w="9576" w:type="dxa"/>
          </w:tcPr>
          <w:p w14:paraId="61A9B9C5" w14:textId="5FA49894" w:rsidR="008423E4" w:rsidRDefault="002408DF" w:rsidP="002963E0">
            <w:pPr>
              <w:jc w:val="right"/>
            </w:pPr>
            <w:r>
              <w:t>Committee Report (Unamended)</w:t>
            </w:r>
          </w:p>
        </w:tc>
      </w:tr>
    </w:tbl>
    <w:p w14:paraId="4812F8B3" w14:textId="77777777" w:rsidR="008423E4" w:rsidRDefault="008423E4" w:rsidP="002963E0">
      <w:pPr>
        <w:tabs>
          <w:tab w:val="right" w:pos="9360"/>
        </w:tabs>
      </w:pPr>
    </w:p>
    <w:p w14:paraId="1ADBD4AE" w14:textId="77777777" w:rsidR="008423E4" w:rsidRDefault="008423E4" w:rsidP="002963E0"/>
    <w:p w14:paraId="7E7ACF07" w14:textId="77777777" w:rsidR="008423E4" w:rsidRDefault="008423E4" w:rsidP="002963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404F3" w14:paraId="7CB3C241" w14:textId="77777777" w:rsidTr="00345119">
        <w:tc>
          <w:tcPr>
            <w:tcW w:w="9576" w:type="dxa"/>
          </w:tcPr>
          <w:p w14:paraId="48654C1C" w14:textId="77777777" w:rsidR="008423E4" w:rsidRPr="00A8133F" w:rsidRDefault="002408DF" w:rsidP="002963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259EB8" w14:textId="77777777" w:rsidR="008423E4" w:rsidRDefault="008423E4" w:rsidP="002963E0"/>
          <w:p w14:paraId="5E53C6AC" w14:textId="0FC6DEE7" w:rsidR="00803347" w:rsidRDefault="002408DF" w:rsidP="00296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03347">
              <w:t xml:space="preserve">The Texas Forensic Science Commission (FSC) is charged with ensuring the integrity of forensic science in </w:t>
            </w:r>
            <w:r w:rsidR="00D84E5C">
              <w:t>Texas</w:t>
            </w:r>
            <w:r w:rsidRPr="00803347">
              <w:t xml:space="preserve">. In 2015, the </w:t>
            </w:r>
            <w:r w:rsidR="00CF6B19">
              <w:t>l</w:t>
            </w:r>
            <w:r w:rsidRPr="00803347">
              <w:t xml:space="preserve">egislature </w:t>
            </w:r>
            <w:r w:rsidR="00D84E5C">
              <w:t>enacted</w:t>
            </w:r>
            <w:r w:rsidRPr="00803347">
              <w:t xml:space="preserve"> S</w:t>
            </w:r>
            <w:r w:rsidR="00D84E5C">
              <w:t>.</w:t>
            </w:r>
            <w:r w:rsidRPr="00803347">
              <w:t>B</w:t>
            </w:r>
            <w:r w:rsidR="00D84E5C">
              <w:t>.</w:t>
            </w:r>
            <w:r w:rsidRPr="00803347">
              <w:t xml:space="preserve"> 1743, which authorized the FSC to refer cases to the </w:t>
            </w:r>
            <w:r w:rsidR="00AA04DF">
              <w:t>office of capital and forensic w</w:t>
            </w:r>
            <w:r w:rsidR="009F7C2E">
              <w:t>r</w:t>
            </w:r>
            <w:r w:rsidR="00AA04DF">
              <w:t>its</w:t>
            </w:r>
            <w:r w:rsidRPr="00803347">
              <w:t xml:space="preserve"> for potential post-conviction relief where flawed or outdated forensic practices may have contributed to a conviction. </w:t>
            </w:r>
            <w:r w:rsidR="009136DC">
              <w:t>The bill sponsor has informed the committee that, s</w:t>
            </w:r>
            <w:r w:rsidRPr="00803347">
              <w:t xml:space="preserve">ince 2020, when </w:t>
            </w:r>
            <w:r w:rsidR="00AA04DF">
              <w:t>the office</w:t>
            </w:r>
            <w:r w:rsidR="00AA04DF" w:rsidRPr="00803347">
              <w:t xml:space="preserve"> </w:t>
            </w:r>
            <w:r w:rsidRPr="00803347">
              <w:t>received legislative funding for this expanded mission, the FSC has referred over 70 cases involving questionable forensic methods—including bitemark analysis, firearms examination</w:t>
            </w:r>
            <w:r w:rsidRPr="00803347">
              <w:t>, DNA interpretation, and more.</w:t>
            </w:r>
            <w:r w:rsidR="00AA04DF">
              <w:t xml:space="preserve"> The bill sponsor has also informed the committee that</w:t>
            </w:r>
            <w:r w:rsidRPr="00803347">
              <w:t xml:space="preserve"> the FSC can only refer a case to </w:t>
            </w:r>
            <w:r w:rsidR="00AA04DF">
              <w:t>the office</w:t>
            </w:r>
            <w:r w:rsidR="00AA04DF" w:rsidRPr="00803347">
              <w:t xml:space="preserve"> </w:t>
            </w:r>
            <w:r w:rsidRPr="00803347">
              <w:t>if it is the subject of an active investigation</w:t>
            </w:r>
            <w:r w:rsidR="00AA04DF">
              <w:t xml:space="preserve"> and</w:t>
            </w:r>
            <w:r w:rsidR="009136DC">
              <w:t xml:space="preserve"> that t</w:t>
            </w:r>
            <w:r w:rsidRPr="00803347">
              <w:t xml:space="preserve">his limitation restricts the FSC's ability to refer meritorious complaints that do not require further investigation due to prior findings and </w:t>
            </w:r>
            <w:r w:rsidR="00C66545">
              <w:t>its</w:t>
            </w:r>
            <w:r w:rsidR="00C66545" w:rsidRPr="00803347">
              <w:t xml:space="preserve"> </w:t>
            </w:r>
            <w:r w:rsidRPr="00803347">
              <w:t>ability to maximize the use of public resources by avoiding duplicative investigations while still ensuring potential forensic issues are addressed.</w:t>
            </w:r>
            <w:r w:rsidR="009136DC">
              <w:t xml:space="preserve"> </w:t>
            </w:r>
            <w:r w:rsidRPr="00803347">
              <w:t>S</w:t>
            </w:r>
            <w:r w:rsidR="009136DC">
              <w:t>.</w:t>
            </w:r>
            <w:r w:rsidRPr="00803347">
              <w:t>B</w:t>
            </w:r>
            <w:r w:rsidR="009136DC">
              <w:t>.</w:t>
            </w:r>
            <w:r w:rsidRPr="00803347">
              <w:t xml:space="preserve"> 614 </w:t>
            </w:r>
            <w:r w:rsidR="009136DC">
              <w:t xml:space="preserve">seeks to </w:t>
            </w:r>
            <w:r w:rsidR="00AA04DF">
              <w:t>address this issue</w:t>
            </w:r>
            <w:r w:rsidR="009136DC">
              <w:t xml:space="preserve"> by</w:t>
            </w:r>
            <w:r w:rsidRPr="00803347">
              <w:t xml:space="preserve"> </w:t>
            </w:r>
            <w:r w:rsidR="009F7C2E">
              <w:t>revising the authority of the F</w:t>
            </w:r>
            <w:r w:rsidR="00C66545">
              <w:t>S</w:t>
            </w:r>
            <w:r w:rsidR="009F7C2E">
              <w:t>C to review and refer certain cases to the office of capital and forensic writs</w:t>
            </w:r>
            <w:r w:rsidRPr="00803347">
              <w:t>.</w:t>
            </w:r>
          </w:p>
          <w:p w14:paraId="789163EF" w14:textId="77777777" w:rsidR="008423E4" w:rsidRPr="00E26B13" w:rsidRDefault="008423E4" w:rsidP="002963E0">
            <w:pPr>
              <w:rPr>
                <w:b/>
              </w:rPr>
            </w:pPr>
          </w:p>
        </w:tc>
      </w:tr>
      <w:tr w:rsidR="001404F3" w14:paraId="5C3F26A1" w14:textId="77777777" w:rsidTr="00345119">
        <w:tc>
          <w:tcPr>
            <w:tcW w:w="9576" w:type="dxa"/>
          </w:tcPr>
          <w:p w14:paraId="17303053" w14:textId="77777777" w:rsidR="0017725B" w:rsidRDefault="002408DF" w:rsidP="002963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2EBAAB9B" w14:textId="77777777" w:rsidR="0017725B" w:rsidRDefault="0017725B" w:rsidP="002963E0">
            <w:pPr>
              <w:rPr>
                <w:b/>
                <w:u w:val="single"/>
              </w:rPr>
            </w:pPr>
          </w:p>
          <w:p w14:paraId="3890A162" w14:textId="1F8BF1D6" w:rsidR="00903459" w:rsidRPr="00903459" w:rsidRDefault="002408DF" w:rsidP="002963E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773B04B" w14:textId="77777777" w:rsidR="0017725B" w:rsidRPr="0017725B" w:rsidRDefault="0017725B" w:rsidP="002963E0">
            <w:pPr>
              <w:rPr>
                <w:b/>
                <w:u w:val="single"/>
              </w:rPr>
            </w:pPr>
          </w:p>
        </w:tc>
      </w:tr>
      <w:tr w:rsidR="001404F3" w14:paraId="609687C3" w14:textId="77777777" w:rsidTr="00345119">
        <w:tc>
          <w:tcPr>
            <w:tcW w:w="9576" w:type="dxa"/>
          </w:tcPr>
          <w:p w14:paraId="7DB9D237" w14:textId="77777777" w:rsidR="008423E4" w:rsidRPr="00A8133F" w:rsidRDefault="002408DF" w:rsidP="002963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C27F1D" w14:textId="77777777" w:rsidR="008423E4" w:rsidRDefault="008423E4" w:rsidP="002963E0"/>
          <w:p w14:paraId="072BEFA1" w14:textId="3B949D39" w:rsidR="00903459" w:rsidRDefault="002408DF" w:rsidP="00296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FEADFC0" w14:textId="77777777" w:rsidR="008423E4" w:rsidRPr="00E21FDC" w:rsidRDefault="008423E4" w:rsidP="002963E0">
            <w:pPr>
              <w:rPr>
                <w:b/>
              </w:rPr>
            </w:pPr>
          </w:p>
        </w:tc>
      </w:tr>
      <w:tr w:rsidR="001404F3" w14:paraId="02DD8E0A" w14:textId="77777777" w:rsidTr="00345119">
        <w:tc>
          <w:tcPr>
            <w:tcW w:w="9576" w:type="dxa"/>
          </w:tcPr>
          <w:p w14:paraId="09E33AD4" w14:textId="77777777" w:rsidR="008423E4" w:rsidRPr="00A8133F" w:rsidRDefault="002408DF" w:rsidP="002963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549B93" w14:textId="77777777" w:rsidR="008423E4" w:rsidRDefault="008423E4" w:rsidP="002963E0"/>
          <w:p w14:paraId="5918A952" w14:textId="200BDD42" w:rsidR="00BE7527" w:rsidRDefault="002408DF" w:rsidP="00296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614 amends the </w:t>
            </w:r>
            <w:r w:rsidRPr="008904F2">
              <w:t>Code of Criminal Procedure</w:t>
            </w:r>
            <w:r>
              <w:t xml:space="preserve"> to </w:t>
            </w:r>
            <w:r w:rsidR="00903459">
              <w:t>authorize</w:t>
            </w:r>
            <w:r>
              <w:t xml:space="preserve"> the </w:t>
            </w:r>
            <w:r w:rsidRPr="008904F2">
              <w:t>Texas Forensic Science Commission</w:t>
            </w:r>
            <w:r w:rsidR="00C81B17">
              <w:t xml:space="preserve"> (FSC)</w:t>
            </w:r>
            <w:r>
              <w:t xml:space="preserve"> </w:t>
            </w:r>
            <w:r w:rsidR="00903459">
              <w:t>to</w:t>
            </w:r>
            <w:r>
              <w:t xml:space="preserve"> </w:t>
            </w:r>
            <w:r w:rsidRPr="008904F2">
              <w:t>review and refer to the office of capital and forensic writs</w:t>
            </w:r>
            <w:r w:rsidR="00803347">
              <w:t>,</w:t>
            </w:r>
            <w:r>
              <w:t xml:space="preserve"> in accordance with </w:t>
            </w:r>
            <w:r w:rsidR="00803347">
              <w:t xml:space="preserve">applicable </w:t>
            </w:r>
            <w:r>
              <w:t>state law</w:t>
            </w:r>
            <w:r w:rsidR="00803347">
              <w:t>,</w:t>
            </w:r>
            <w:r w:rsidR="00C81B17">
              <w:t xml:space="preserve"> cases that are</w:t>
            </w:r>
            <w:r w:rsidR="00C81B17" w:rsidRPr="00C81B17">
              <w:t xml:space="preserve"> dismissed by the </w:t>
            </w:r>
            <w:r w:rsidR="00C81B17">
              <w:t>FSC</w:t>
            </w:r>
            <w:r w:rsidR="00C81B17" w:rsidRPr="00C81B17">
              <w:t xml:space="preserve"> with an express referral to a previously published report tha</w:t>
            </w:r>
            <w:r w:rsidR="00C81B17">
              <w:t xml:space="preserve">t </w:t>
            </w:r>
            <w:r w:rsidR="00C81B17" w:rsidRPr="00C81B17">
              <w:t>covers the same subject matter</w:t>
            </w:r>
            <w:r w:rsidR="00C81B17">
              <w:t xml:space="preserve"> and is issued </w:t>
            </w:r>
            <w:r w:rsidR="00C45AD2">
              <w:t>for</w:t>
            </w:r>
            <w:r w:rsidR="00D06EA4">
              <w:t xml:space="preserve"> one of</w:t>
            </w:r>
            <w:r w:rsidR="00C45AD2">
              <w:t xml:space="preserve"> the</w:t>
            </w:r>
            <w:r>
              <w:t xml:space="preserve"> following </w:t>
            </w:r>
            <w:r w:rsidR="004E42BA">
              <w:t xml:space="preserve">FSC </w:t>
            </w:r>
            <w:r>
              <w:t>investigations:</w:t>
            </w:r>
          </w:p>
          <w:p w14:paraId="2F9BC015" w14:textId="567FD776" w:rsidR="00BE7527" w:rsidRDefault="002408DF" w:rsidP="008A6B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>
              <w:t xml:space="preserve">an investigation of </w:t>
            </w:r>
            <w:r w:rsidRPr="00BE7527">
              <w:t>a</w:t>
            </w:r>
            <w:r>
              <w:t>n accredited</w:t>
            </w:r>
            <w:r w:rsidRPr="00BE7527">
              <w:t xml:space="preserve"> crime laboratory pursuant to an allegation of professional negligence or professional misconduct involving an accredited field of forensic science</w:t>
            </w:r>
            <w:r>
              <w:t>;</w:t>
            </w:r>
          </w:p>
          <w:p w14:paraId="2D2D7EE7" w14:textId="7B642579" w:rsidR="00BE7527" w:rsidRDefault="002408DF" w:rsidP="008A6B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>
              <w:t xml:space="preserve">an </w:t>
            </w:r>
            <w:r w:rsidRPr="00BE7527">
              <w:t xml:space="preserve">investigation of </w:t>
            </w:r>
            <w:r w:rsidR="00C231F6">
              <w:t xml:space="preserve">a </w:t>
            </w:r>
            <w:r w:rsidRPr="00BE7527">
              <w:t xml:space="preserve">crime laboratory </w:t>
            </w:r>
            <w:r>
              <w:t xml:space="preserve">that is </w:t>
            </w:r>
            <w:r w:rsidRPr="00D06EA4">
              <w:t>no</w:t>
            </w:r>
            <w:r>
              <w:t xml:space="preserve">t </w:t>
            </w:r>
            <w:r w:rsidRPr="00D06EA4">
              <w:t xml:space="preserve">accredited </w:t>
            </w:r>
            <w:r w:rsidRPr="00BE7527">
              <w:t xml:space="preserve">or </w:t>
            </w:r>
            <w:r>
              <w:t>the</w:t>
            </w:r>
            <w:r w:rsidRPr="00BE7527">
              <w:t xml:space="preserve"> investigation involv</w:t>
            </w:r>
            <w:r>
              <w:t>es</w:t>
            </w:r>
            <w:r w:rsidRPr="00BE7527">
              <w:t xml:space="preserve"> a forensic examination or test not subject to accreditation</w:t>
            </w:r>
            <w:r>
              <w:t>; and</w:t>
            </w:r>
          </w:p>
          <w:p w14:paraId="142F96EC" w14:textId="63CEC10D" w:rsidR="00BE7527" w:rsidRPr="009C36CD" w:rsidRDefault="002408DF" w:rsidP="008A6B8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>
              <w:t xml:space="preserve">an investigation of </w:t>
            </w:r>
            <w:r w:rsidR="0076497C">
              <w:t xml:space="preserve">forensic analysis </w:t>
            </w:r>
            <w:r w:rsidR="0076497C" w:rsidRPr="0076497C">
              <w:t>without receiving a complaint submitted through the</w:t>
            </w:r>
            <w:r w:rsidR="003415AB">
              <w:t xml:space="preserve"> professional negligence and misconduct</w:t>
            </w:r>
            <w:r w:rsidR="0076497C" w:rsidRPr="0076497C">
              <w:t xml:space="preserve"> reporting system</w:t>
            </w:r>
            <w:r w:rsidR="00653358">
              <w:t xml:space="preserve"> following the FSC determination that the investigation of the analysis would advance the integrity and reliability of forensic science in Texas</w:t>
            </w:r>
            <w:r w:rsidR="0076497C">
              <w:t>.</w:t>
            </w:r>
          </w:p>
          <w:p w14:paraId="182C9F07" w14:textId="77777777" w:rsidR="008423E4" w:rsidRPr="00835628" w:rsidRDefault="008423E4" w:rsidP="002963E0">
            <w:pPr>
              <w:rPr>
                <w:b/>
              </w:rPr>
            </w:pPr>
          </w:p>
        </w:tc>
      </w:tr>
      <w:tr w:rsidR="001404F3" w14:paraId="466B7320" w14:textId="77777777" w:rsidTr="00345119">
        <w:tc>
          <w:tcPr>
            <w:tcW w:w="9576" w:type="dxa"/>
          </w:tcPr>
          <w:p w14:paraId="089EB57B" w14:textId="77777777" w:rsidR="008423E4" w:rsidRPr="00A8133F" w:rsidRDefault="002408DF" w:rsidP="002963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A4EABB" w14:textId="77777777" w:rsidR="008423E4" w:rsidRDefault="008423E4" w:rsidP="002963E0"/>
          <w:p w14:paraId="10CDD780" w14:textId="1DD00626" w:rsidR="008423E4" w:rsidRPr="003624F2" w:rsidRDefault="002408DF" w:rsidP="00296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43D1104F" w14:textId="77777777" w:rsidR="008423E4" w:rsidRPr="00233FDB" w:rsidRDefault="008423E4" w:rsidP="002963E0">
            <w:pPr>
              <w:rPr>
                <w:b/>
              </w:rPr>
            </w:pPr>
          </w:p>
        </w:tc>
      </w:tr>
    </w:tbl>
    <w:p w14:paraId="232C76F5" w14:textId="77777777" w:rsidR="008423E4" w:rsidRPr="00BE0E75" w:rsidRDefault="008423E4" w:rsidP="002963E0">
      <w:pPr>
        <w:jc w:val="both"/>
        <w:rPr>
          <w:rFonts w:ascii="Arial" w:hAnsi="Arial"/>
          <w:sz w:val="16"/>
          <w:szCs w:val="16"/>
        </w:rPr>
      </w:pPr>
    </w:p>
    <w:p w14:paraId="7BDC50CB" w14:textId="77777777" w:rsidR="004108C3" w:rsidRPr="008423E4" w:rsidRDefault="004108C3" w:rsidP="002963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C6BD" w14:textId="77777777" w:rsidR="002408DF" w:rsidRDefault="002408DF">
      <w:r>
        <w:separator/>
      </w:r>
    </w:p>
  </w:endnote>
  <w:endnote w:type="continuationSeparator" w:id="0">
    <w:p w14:paraId="7B554C35" w14:textId="77777777" w:rsidR="002408DF" w:rsidRDefault="002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77F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404F3" w14:paraId="0171BF58" w14:textId="77777777" w:rsidTr="009C1E9A">
      <w:trPr>
        <w:cantSplit/>
      </w:trPr>
      <w:tc>
        <w:tcPr>
          <w:tcW w:w="0" w:type="pct"/>
        </w:tcPr>
        <w:p w14:paraId="4937C1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18AC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AF8A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688C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F35E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04F3" w14:paraId="65E53C75" w14:textId="77777777" w:rsidTr="009C1E9A">
      <w:trPr>
        <w:cantSplit/>
      </w:trPr>
      <w:tc>
        <w:tcPr>
          <w:tcW w:w="0" w:type="pct"/>
        </w:tcPr>
        <w:p w14:paraId="03C64D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EE951" w14:textId="3006498B" w:rsidR="00EC379B" w:rsidRPr="009C1E9A" w:rsidRDefault="002408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31352-D</w:t>
          </w:r>
        </w:p>
      </w:tc>
      <w:tc>
        <w:tcPr>
          <w:tcW w:w="2453" w:type="pct"/>
        </w:tcPr>
        <w:p w14:paraId="2A99B5EE" w14:textId="5C0B84F1" w:rsidR="00EC379B" w:rsidRDefault="002408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07D12">
            <w:t>25.136.1186</w:t>
          </w:r>
          <w:r>
            <w:fldChar w:fldCharType="end"/>
          </w:r>
        </w:p>
      </w:tc>
    </w:tr>
    <w:tr w:rsidR="001404F3" w14:paraId="59BA9212" w14:textId="77777777" w:rsidTr="009C1E9A">
      <w:trPr>
        <w:cantSplit/>
      </w:trPr>
      <w:tc>
        <w:tcPr>
          <w:tcW w:w="0" w:type="pct"/>
        </w:tcPr>
        <w:p w14:paraId="264D3B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00003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15C62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6098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04F3" w14:paraId="32E9147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829E52" w14:textId="77777777" w:rsidR="00EC379B" w:rsidRDefault="002408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008B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C228F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0C3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4CC2" w14:textId="77777777" w:rsidR="002408DF" w:rsidRDefault="002408DF">
      <w:r>
        <w:separator/>
      </w:r>
    </w:p>
  </w:footnote>
  <w:footnote w:type="continuationSeparator" w:id="0">
    <w:p w14:paraId="03EE3130" w14:textId="77777777" w:rsidR="002408DF" w:rsidRDefault="0024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B9C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12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1C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5A4A"/>
    <w:multiLevelType w:val="hybridMultilevel"/>
    <w:tmpl w:val="31AAA17E"/>
    <w:lvl w:ilvl="0" w:tplc="2302642C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710EA46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61CFD1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EB4E95D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5ECC306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96890D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236D72E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84A40DB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B082DB0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905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C2D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4F3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8DF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3E0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B8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6E9"/>
    <w:rsid w:val="00336BA4"/>
    <w:rsid w:val="00336C7A"/>
    <w:rsid w:val="00337392"/>
    <w:rsid w:val="00337659"/>
    <w:rsid w:val="003415AB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9A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0955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2BA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6A3"/>
    <w:rsid w:val="004F7C32"/>
    <w:rsid w:val="00500121"/>
    <w:rsid w:val="005017AC"/>
    <w:rsid w:val="00501E8A"/>
    <w:rsid w:val="00503ED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4FC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CF8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358"/>
    <w:rsid w:val="00662B77"/>
    <w:rsid w:val="00662D0E"/>
    <w:rsid w:val="00663265"/>
    <w:rsid w:val="0066345F"/>
    <w:rsid w:val="0066370B"/>
    <w:rsid w:val="006642F7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68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D12"/>
    <w:rsid w:val="0071131D"/>
    <w:rsid w:val="00711E3D"/>
    <w:rsid w:val="00711E85"/>
    <w:rsid w:val="00712DDA"/>
    <w:rsid w:val="007141A7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497C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FD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812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34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58F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4F2"/>
    <w:rsid w:val="00890B59"/>
    <w:rsid w:val="008930D7"/>
    <w:rsid w:val="008947A7"/>
    <w:rsid w:val="00897E80"/>
    <w:rsid w:val="008A04FA"/>
    <w:rsid w:val="008A3188"/>
    <w:rsid w:val="008A3FDF"/>
    <w:rsid w:val="008A6418"/>
    <w:rsid w:val="008A6B86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459"/>
    <w:rsid w:val="00903E0A"/>
    <w:rsid w:val="00904721"/>
    <w:rsid w:val="00907780"/>
    <w:rsid w:val="00907EDD"/>
    <w:rsid w:val="009107AD"/>
    <w:rsid w:val="009136D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750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C2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552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4DF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681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527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1FF"/>
    <w:rsid w:val="00C119AC"/>
    <w:rsid w:val="00C14EE6"/>
    <w:rsid w:val="00C151DA"/>
    <w:rsid w:val="00C152A1"/>
    <w:rsid w:val="00C16CCB"/>
    <w:rsid w:val="00C2142B"/>
    <w:rsid w:val="00C22987"/>
    <w:rsid w:val="00C231F6"/>
    <w:rsid w:val="00C23956"/>
    <w:rsid w:val="00C248E6"/>
    <w:rsid w:val="00C2766F"/>
    <w:rsid w:val="00C3223B"/>
    <w:rsid w:val="00C333C6"/>
    <w:rsid w:val="00C35CC5"/>
    <w:rsid w:val="00C361C5"/>
    <w:rsid w:val="00C37323"/>
    <w:rsid w:val="00C377D1"/>
    <w:rsid w:val="00C37BDA"/>
    <w:rsid w:val="00C37C84"/>
    <w:rsid w:val="00C42B41"/>
    <w:rsid w:val="00C45AD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54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B17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3C4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B19"/>
    <w:rsid w:val="00CF71E0"/>
    <w:rsid w:val="00D001B1"/>
    <w:rsid w:val="00D02426"/>
    <w:rsid w:val="00D03176"/>
    <w:rsid w:val="00D060A8"/>
    <w:rsid w:val="00D06605"/>
    <w:rsid w:val="00D06EA4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2D1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870"/>
    <w:rsid w:val="00D83072"/>
    <w:rsid w:val="00D83ABC"/>
    <w:rsid w:val="00D84870"/>
    <w:rsid w:val="00D84E5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B51"/>
    <w:rsid w:val="00E13374"/>
    <w:rsid w:val="00E14079"/>
    <w:rsid w:val="00E15F90"/>
    <w:rsid w:val="00E16D3E"/>
    <w:rsid w:val="00E17167"/>
    <w:rsid w:val="00E204AD"/>
    <w:rsid w:val="00E20520"/>
    <w:rsid w:val="00E21D55"/>
    <w:rsid w:val="00E21FDC"/>
    <w:rsid w:val="00E23DDE"/>
    <w:rsid w:val="00E2551E"/>
    <w:rsid w:val="00E26B13"/>
    <w:rsid w:val="00E27E5A"/>
    <w:rsid w:val="00E31135"/>
    <w:rsid w:val="00E317BA"/>
    <w:rsid w:val="00E325D8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85A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075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97264E-DBDD-46BE-AA6C-1B90EF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34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3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34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3459"/>
    <w:rPr>
      <w:b/>
      <w:bCs/>
    </w:rPr>
  </w:style>
  <w:style w:type="paragraph" w:styleId="Revision">
    <w:name w:val="Revision"/>
    <w:hidden/>
    <w:uiPriority w:val="99"/>
    <w:semiHidden/>
    <w:rsid w:val="00D06EA4"/>
    <w:rPr>
      <w:sz w:val="24"/>
      <w:szCs w:val="24"/>
    </w:rPr>
  </w:style>
  <w:style w:type="character" w:styleId="Hyperlink">
    <w:name w:val="Hyperlink"/>
    <w:basedOn w:val="DefaultParagraphFont"/>
    <w:unhideWhenUsed/>
    <w:rsid w:val="00D84E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2494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SB00614 (Committee Report (Unamended))</vt:lpstr>
    </vt:vector>
  </TitlesOfParts>
  <Company>State of Texas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31352</dc:subject>
  <dc:creator>State of Texas</dc:creator>
  <dc:description>SB 614 by Hinojosa, Juan "Chuy"-(H)Criminal Jurisprudence</dc:description>
  <cp:lastModifiedBy>Damian Duarte</cp:lastModifiedBy>
  <cp:revision>2</cp:revision>
  <cp:lastPrinted>2003-11-26T17:21:00Z</cp:lastPrinted>
  <dcterms:created xsi:type="dcterms:W3CDTF">2025-05-19T18:06:00Z</dcterms:created>
  <dcterms:modified xsi:type="dcterms:W3CDTF">2025-05-19T18:06:00Z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25.136.1186</vt:lpwstr>
  </property>
</Properties>
</file>