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32DD3" w14:paraId="3EAE4FDD" w14:textId="77777777" w:rsidTr="00345119">
        <w:tc>
          <w:tcPr>
            <w:tcW w:w="9576" w:type="dxa"/>
            <w:noWrap/>
          </w:tcPr>
          <w:p w14:paraId="4C930186" w14:textId="0C3E2ED5" w:rsidR="008423E4" w:rsidRPr="0022177D" w:rsidRDefault="00CD6A02" w:rsidP="00592B86">
            <w:pPr>
              <w:pStyle w:val="Heading1"/>
            </w:pPr>
            <w:r w:rsidRPr="00631897">
              <w:t>BILL ANALYSIS</w:t>
            </w:r>
          </w:p>
        </w:tc>
      </w:tr>
    </w:tbl>
    <w:p w14:paraId="403AB77D" w14:textId="77777777" w:rsidR="008423E4" w:rsidRPr="0022177D" w:rsidRDefault="008423E4" w:rsidP="00592B86">
      <w:pPr>
        <w:jc w:val="center"/>
      </w:pPr>
    </w:p>
    <w:p w14:paraId="279E06F6" w14:textId="77777777" w:rsidR="008423E4" w:rsidRPr="00B31F0E" w:rsidRDefault="008423E4" w:rsidP="00592B86"/>
    <w:p w14:paraId="747DC8F5" w14:textId="77777777" w:rsidR="008423E4" w:rsidRPr="00742794" w:rsidRDefault="008423E4" w:rsidP="00592B8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32DD3" w14:paraId="64BEB3C8" w14:textId="77777777" w:rsidTr="00345119">
        <w:tc>
          <w:tcPr>
            <w:tcW w:w="9576" w:type="dxa"/>
          </w:tcPr>
          <w:p w14:paraId="189344AF" w14:textId="02656C44" w:rsidR="008423E4" w:rsidRPr="00861995" w:rsidRDefault="00CD6A02" w:rsidP="00592B86">
            <w:pPr>
              <w:jc w:val="right"/>
            </w:pPr>
            <w:r>
              <w:t>S.B. 706</w:t>
            </w:r>
          </w:p>
        </w:tc>
      </w:tr>
      <w:tr w:rsidR="00032DD3" w14:paraId="46DE01BF" w14:textId="77777777" w:rsidTr="00345119">
        <w:tc>
          <w:tcPr>
            <w:tcW w:w="9576" w:type="dxa"/>
          </w:tcPr>
          <w:p w14:paraId="0303E111" w14:textId="0A31475F" w:rsidR="008423E4" w:rsidRPr="00861995" w:rsidRDefault="00CD6A02" w:rsidP="00592B86">
            <w:pPr>
              <w:jc w:val="right"/>
            </w:pPr>
            <w:r>
              <w:t xml:space="preserve">By: </w:t>
            </w:r>
            <w:r w:rsidR="000E463B">
              <w:t>Schwertner</w:t>
            </w:r>
          </w:p>
        </w:tc>
      </w:tr>
      <w:tr w:rsidR="00032DD3" w14:paraId="6BF46E90" w14:textId="77777777" w:rsidTr="00345119">
        <w:tc>
          <w:tcPr>
            <w:tcW w:w="9576" w:type="dxa"/>
          </w:tcPr>
          <w:p w14:paraId="4DF5DB8C" w14:textId="7F4E7713" w:rsidR="008423E4" w:rsidRPr="00861995" w:rsidRDefault="00CD6A02" w:rsidP="00592B86">
            <w:pPr>
              <w:jc w:val="right"/>
            </w:pPr>
            <w:r>
              <w:t>Homeland Security, Public Safety &amp; Veterans' Affairs</w:t>
            </w:r>
          </w:p>
        </w:tc>
      </w:tr>
      <w:tr w:rsidR="00032DD3" w14:paraId="5DC0F5A3" w14:textId="77777777" w:rsidTr="00345119">
        <w:tc>
          <w:tcPr>
            <w:tcW w:w="9576" w:type="dxa"/>
          </w:tcPr>
          <w:p w14:paraId="1B4268F3" w14:textId="4C8CE3FD" w:rsidR="008423E4" w:rsidRDefault="00CD6A02" w:rsidP="00592B86">
            <w:pPr>
              <w:jc w:val="right"/>
            </w:pPr>
            <w:r>
              <w:t>Committee Report (Unamended)</w:t>
            </w:r>
          </w:p>
        </w:tc>
      </w:tr>
    </w:tbl>
    <w:p w14:paraId="4E9C535E" w14:textId="77777777" w:rsidR="008423E4" w:rsidRDefault="008423E4" w:rsidP="00592B86">
      <w:pPr>
        <w:tabs>
          <w:tab w:val="right" w:pos="9360"/>
        </w:tabs>
      </w:pPr>
    </w:p>
    <w:p w14:paraId="5E371F3A" w14:textId="77777777" w:rsidR="008423E4" w:rsidRDefault="008423E4" w:rsidP="00592B86"/>
    <w:p w14:paraId="03B5EB5C" w14:textId="77777777" w:rsidR="008423E4" w:rsidRDefault="008423E4" w:rsidP="00592B8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32DD3" w14:paraId="6ECD1B98" w14:textId="77777777" w:rsidTr="00345119">
        <w:tc>
          <w:tcPr>
            <w:tcW w:w="9576" w:type="dxa"/>
          </w:tcPr>
          <w:p w14:paraId="7512E27D" w14:textId="77777777" w:rsidR="008423E4" w:rsidRPr="00A8133F" w:rsidRDefault="00CD6A02" w:rsidP="00592B8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087CCD8" w14:textId="77777777" w:rsidR="008423E4" w:rsidRDefault="008423E4" w:rsidP="00592B86"/>
          <w:p w14:paraId="24CA68FD" w14:textId="568CF309" w:rsidR="008423E4" w:rsidRDefault="00CD6A02" w:rsidP="00592B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5B2B78">
              <w:t xml:space="preserve">he 87th Texas Legislature </w:t>
            </w:r>
            <w:r>
              <w:t>enacted</w:t>
            </w:r>
            <w:r w:rsidRPr="005B2B78">
              <w:t xml:space="preserve"> </w:t>
            </w:r>
            <w:r>
              <w:t>H.B.</w:t>
            </w:r>
            <w:r w:rsidRPr="005B2B78">
              <w:t xml:space="preserve"> 1927</w:t>
            </w:r>
            <w:r>
              <w:t xml:space="preserve">, which </w:t>
            </w:r>
            <w:r w:rsidRPr="005B2B78">
              <w:t>eliminat</w:t>
            </w:r>
            <w:r>
              <w:t>ed</w:t>
            </w:r>
            <w:r w:rsidRPr="005B2B78">
              <w:t xml:space="preserve"> the requirement for Texas residents to obtain a </w:t>
            </w:r>
            <w:r>
              <w:t xml:space="preserve">handgun </w:t>
            </w:r>
            <w:r w:rsidRPr="005B2B78">
              <w:t xml:space="preserve">license to </w:t>
            </w:r>
            <w:r>
              <w:t xml:space="preserve">legally </w:t>
            </w:r>
            <w:r w:rsidRPr="005B2B78">
              <w:t xml:space="preserve">carry </w:t>
            </w:r>
            <w:r>
              <w:t xml:space="preserve">a </w:t>
            </w:r>
            <w:r w:rsidRPr="005B2B78">
              <w:t>handgun if they</w:t>
            </w:r>
            <w:r w:rsidR="00A24DC3">
              <w:t xml:space="preserve"> are</w:t>
            </w:r>
            <w:r w:rsidRPr="005B2B78">
              <w:t xml:space="preserve"> not</w:t>
            </w:r>
            <w:r>
              <w:t xml:space="preserve"> </w:t>
            </w:r>
            <w:r w:rsidRPr="005B2B78">
              <w:t>prohibited by state or federal law</w:t>
            </w:r>
            <w:r w:rsidR="00B838D3">
              <w:t xml:space="preserve"> from possessing a handgun</w:t>
            </w:r>
            <w:r w:rsidRPr="005B2B78">
              <w:t xml:space="preserve">. </w:t>
            </w:r>
            <w:r w:rsidR="00387F0C">
              <w:t>The bill sponsor has informed the committee that v</w:t>
            </w:r>
            <w:r w:rsidRPr="005B2B78">
              <w:t xml:space="preserve">isitors to Texas who meet these same standards should be afforded the same </w:t>
            </w:r>
            <w:r>
              <w:t>r</w:t>
            </w:r>
            <w:r w:rsidRPr="005B2B78">
              <w:t>ight</w:t>
            </w:r>
            <w:r>
              <w:t xml:space="preserve"> to carry</w:t>
            </w:r>
            <w:r w:rsidRPr="005B2B78">
              <w:t>.</w:t>
            </w:r>
            <w:r>
              <w:t xml:space="preserve"> </w:t>
            </w:r>
            <w:r w:rsidR="001B0E17">
              <w:t>S.B. 706</w:t>
            </w:r>
            <w:r w:rsidR="003D18FD" w:rsidRPr="003D18FD">
              <w:t xml:space="preserve"> </w:t>
            </w:r>
            <w:r>
              <w:t>seeks to provide for the recognition</w:t>
            </w:r>
            <w:r w:rsidR="00CD5165">
              <w:t xml:space="preserve"> in Texas</w:t>
            </w:r>
            <w:r>
              <w:t xml:space="preserve"> of all valid out-of-state handgun licenses.</w:t>
            </w:r>
          </w:p>
          <w:p w14:paraId="042A88C2" w14:textId="77777777" w:rsidR="008423E4" w:rsidRPr="00E26B13" w:rsidRDefault="008423E4" w:rsidP="00592B86">
            <w:pPr>
              <w:rPr>
                <w:b/>
              </w:rPr>
            </w:pPr>
          </w:p>
        </w:tc>
      </w:tr>
      <w:tr w:rsidR="00032DD3" w14:paraId="0854F819" w14:textId="77777777" w:rsidTr="00345119">
        <w:tc>
          <w:tcPr>
            <w:tcW w:w="9576" w:type="dxa"/>
          </w:tcPr>
          <w:p w14:paraId="4DA87AFF" w14:textId="77777777" w:rsidR="0017725B" w:rsidRDefault="00CD6A02" w:rsidP="00592B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3836E50" w14:textId="77777777" w:rsidR="0017725B" w:rsidRDefault="0017725B" w:rsidP="00592B86">
            <w:pPr>
              <w:rPr>
                <w:b/>
                <w:u w:val="single"/>
              </w:rPr>
            </w:pPr>
          </w:p>
          <w:p w14:paraId="23EE7EDD" w14:textId="0F85A2C7" w:rsidR="00F60E94" w:rsidRPr="00F60E94" w:rsidRDefault="00CD6A02" w:rsidP="00592B86">
            <w:pPr>
              <w:jc w:val="both"/>
            </w:pPr>
            <w:r>
              <w:t xml:space="preserve">It is the committee's opinion that this bill does not expressly </w:t>
            </w:r>
            <w:r>
              <w:t>create a criminal offense, increase the punishment for an existing criminal offense or category of offenses, or change the eligibility of a person for community supervision, parole, or mandatory supervision.</w:t>
            </w:r>
          </w:p>
          <w:p w14:paraId="522C4B63" w14:textId="77777777" w:rsidR="0017725B" w:rsidRPr="0017725B" w:rsidRDefault="0017725B" w:rsidP="00592B86">
            <w:pPr>
              <w:rPr>
                <w:b/>
                <w:u w:val="single"/>
              </w:rPr>
            </w:pPr>
          </w:p>
        </w:tc>
      </w:tr>
      <w:tr w:rsidR="00032DD3" w14:paraId="22E8BA31" w14:textId="77777777" w:rsidTr="00345119">
        <w:tc>
          <w:tcPr>
            <w:tcW w:w="9576" w:type="dxa"/>
          </w:tcPr>
          <w:p w14:paraId="3EBE9679" w14:textId="77777777" w:rsidR="008423E4" w:rsidRPr="00A8133F" w:rsidRDefault="00CD6A02" w:rsidP="00592B8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09F6D0F" w14:textId="77777777" w:rsidR="008423E4" w:rsidRDefault="008423E4" w:rsidP="00592B86"/>
          <w:p w14:paraId="20E49838" w14:textId="7CB05523" w:rsidR="00F60E94" w:rsidRDefault="00CD6A02" w:rsidP="00592B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06878A2" w14:textId="77777777" w:rsidR="008423E4" w:rsidRPr="00E21FDC" w:rsidRDefault="008423E4" w:rsidP="00592B86">
            <w:pPr>
              <w:rPr>
                <w:b/>
              </w:rPr>
            </w:pPr>
          </w:p>
        </w:tc>
      </w:tr>
      <w:tr w:rsidR="00032DD3" w14:paraId="37BC26FF" w14:textId="77777777" w:rsidTr="00345119">
        <w:tc>
          <w:tcPr>
            <w:tcW w:w="9576" w:type="dxa"/>
          </w:tcPr>
          <w:p w14:paraId="553BAD63" w14:textId="77777777" w:rsidR="008423E4" w:rsidRPr="00A8133F" w:rsidRDefault="00CD6A02" w:rsidP="00592B8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D7782A8" w14:textId="77777777" w:rsidR="008423E4" w:rsidRDefault="008423E4" w:rsidP="00592B86"/>
          <w:p w14:paraId="55F811EB" w14:textId="785480ED" w:rsidR="00F60E94" w:rsidRDefault="00CD6A02" w:rsidP="00592B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B0E17">
              <w:t xml:space="preserve">S.B. 706 </w:t>
            </w:r>
            <w:r>
              <w:t xml:space="preserve">amends the </w:t>
            </w:r>
            <w:r w:rsidRPr="00F60E94">
              <w:t>Government Code</w:t>
            </w:r>
            <w:r>
              <w:t xml:space="preserve"> to </w:t>
            </w:r>
            <w:r w:rsidR="00AF53B1">
              <w:t xml:space="preserve">remove provisions </w:t>
            </w:r>
            <w:r w:rsidR="00E0114A">
              <w:t>conditioning</w:t>
            </w:r>
            <w:r w:rsidR="00AF53B1">
              <w:t xml:space="preserve"> </w:t>
            </w:r>
            <w:r w:rsidR="009B1E3C">
              <w:t xml:space="preserve">the recognition </w:t>
            </w:r>
            <w:r w:rsidR="0076258A">
              <w:t xml:space="preserve">in Texas </w:t>
            </w:r>
            <w:r w:rsidR="009B1E3C">
              <w:t>of a handgun license issued by another state</w:t>
            </w:r>
            <w:r w:rsidR="00E0114A">
              <w:t xml:space="preserve"> on</w:t>
            </w:r>
            <w:r w:rsidR="00AF53B1">
              <w:t xml:space="preserve"> the attorney general determin</w:t>
            </w:r>
            <w:r w:rsidR="00E0114A">
              <w:t>ing</w:t>
            </w:r>
            <w:r w:rsidR="00AF53B1">
              <w:t xml:space="preserve"> that a background check is initiated before a license is issued in th</w:t>
            </w:r>
            <w:r w:rsidR="0076258A">
              <w:t>e other</w:t>
            </w:r>
            <w:r w:rsidR="00AF53B1">
              <w:t xml:space="preserve"> state and </w:t>
            </w:r>
            <w:r w:rsidR="00A1317C">
              <w:t>the governor entering into a reciprocity agreement with that state</w:t>
            </w:r>
            <w:r w:rsidR="0076258A">
              <w:t xml:space="preserve"> or issuing a proclamation that a license issued by th</w:t>
            </w:r>
            <w:r w:rsidR="00F043CB">
              <w:t>at</w:t>
            </w:r>
            <w:r w:rsidR="0076258A">
              <w:t xml:space="preserve"> state is recognized</w:t>
            </w:r>
            <w:r w:rsidR="00A1317C">
              <w:t>. The bill</w:t>
            </w:r>
            <w:r w:rsidR="00E0114A">
              <w:t xml:space="preserve"> </w:t>
            </w:r>
            <w:r>
              <w:t>establish</w:t>
            </w:r>
            <w:r w:rsidR="00A1317C">
              <w:t>es</w:t>
            </w:r>
            <w:r>
              <w:t xml:space="preserve"> </w:t>
            </w:r>
            <w:r w:rsidR="00AF53B1">
              <w:t xml:space="preserve">instead </w:t>
            </w:r>
            <w:r w:rsidR="003403AD">
              <w:t xml:space="preserve">that </w:t>
            </w:r>
            <w:r>
              <w:t xml:space="preserve">a valid </w:t>
            </w:r>
            <w:r w:rsidRPr="00F60E94">
              <w:t xml:space="preserve">handgun license </w:t>
            </w:r>
            <w:r>
              <w:t>issued by any other state is recognized in Texas</w:t>
            </w:r>
            <w:r w:rsidR="0069120D">
              <w:t xml:space="preserve">. The bill requires the governor to negotiate </w:t>
            </w:r>
            <w:r w:rsidR="00C915A2">
              <w:t xml:space="preserve">a reciprocity agreement </w:t>
            </w:r>
            <w:r w:rsidR="0069120D">
              <w:t xml:space="preserve">with </w:t>
            </w:r>
            <w:r w:rsidR="0069120D" w:rsidRPr="0069120D">
              <w:t xml:space="preserve">any other state </w:t>
            </w:r>
            <w:r w:rsidR="00C915A2">
              <w:t>that</w:t>
            </w:r>
            <w:r w:rsidR="0069120D" w:rsidRPr="0069120D">
              <w:t xml:space="preserve"> requires such an agreement before recognizing a </w:t>
            </w:r>
            <w:r w:rsidR="00C915A2">
              <w:t xml:space="preserve">Texas handgun </w:t>
            </w:r>
            <w:r w:rsidR="0069120D" w:rsidRPr="0069120D">
              <w:t>license</w:t>
            </w:r>
            <w:r w:rsidR="00C915A2">
              <w:t xml:space="preserve"> and</w:t>
            </w:r>
            <w:r w:rsidR="00AF53B1">
              <w:t xml:space="preserve"> </w:t>
            </w:r>
            <w:r w:rsidR="00554EC0">
              <w:t xml:space="preserve">requires the Department of Public Safety to publish on its website and annually update a list of </w:t>
            </w:r>
            <w:r w:rsidR="00554EC0" w:rsidRPr="00554EC0">
              <w:t>states in which a</w:t>
            </w:r>
            <w:r w:rsidR="00AF53B1">
              <w:t xml:space="preserve"> Texas handgun</w:t>
            </w:r>
            <w:r w:rsidR="00554EC0" w:rsidRPr="00554EC0">
              <w:t xml:space="preserve"> license is recognized</w:t>
            </w:r>
            <w:r w:rsidR="00554EC0">
              <w:t>.</w:t>
            </w:r>
            <w:r>
              <w:t xml:space="preserve"> </w:t>
            </w:r>
          </w:p>
          <w:p w14:paraId="502EB7F4" w14:textId="55554B18" w:rsidR="00554EC0" w:rsidRDefault="00554EC0" w:rsidP="00592B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42EAD96" w14:textId="5CE2EA13" w:rsidR="00554EC0" w:rsidRPr="009C36CD" w:rsidRDefault="00CD6A02" w:rsidP="00592B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B0E17">
              <w:t xml:space="preserve">S.B. 706 </w:t>
            </w:r>
            <w:r>
              <w:t>repeals Sections 411.173</w:t>
            </w:r>
            <w:r w:rsidRPr="00554EC0">
              <w:t>(c) and (d), Government Code</w:t>
            </w:r>
            <w:r w:rsidR="00CC078C">
              <w:t>, relating to a required annual report and review by the attorney general regarding the states from which Texas will or will not recognize a handgun license</w:t>
            </w:r>
            <w:r>
              <w:t xml:space="preserve">. </w:t>
            </w:r>
          </w:p>
          <w:p w14:paraId="4DD32195" w14:textId="77777777" w:rsidR="008423E4" w:rsidRPr="00835628" w:rsidRDefault="008423E4" w:rsidP="00592B86">
            <w:pPr>
              <w:rPr>
                <w:b/>
              </w:rPr>
            </w:pPr>
          </w:p>
        </w:tc>
      </w:tr>
      <w:tr w:rsidR="00032DD3" w14:paraId="5582028E" w14:textId="77777777" w:rsidTr="00345119">
        <w:tc>
          <w:tcPr>
            <w:tcW w:w="9576" w:type="dxa"/>
          </w:tcPr>
          <w:p w14:paraId="4830E49F" w14:textId="77777777" w:rsidR="008423E4" w:rsidRPr="00A8133F" w:rsidRDefault="00CD6A02" w:rsidP="00592B8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6BF7564" w14:textId="77777777" w:rsidR="008423E4" w:rsidRDefault="008423E4" w:rsidP="00592B86"/>
          <w:p w14:paraId="4A0737B2" w14:textId="7CDCCEB8" w:rsidR="008423E4" w:rsidRPr="003624F2" w:rsidRDefault="00CD6A02" w:rsidP="00592B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</w:t>
            </w:r>
            <w:r w:rsidR="003D18FD">
              <w:t xml:space="preserve"> 2025</w:t>
            </w:r>
            <w:r>
              <w:t>.</w:t>
            </w:r>
          </w:p>
          <w:p w14:paraId="11F0949D" w14:textId="77777777" w:rsidR="008423E4" w:rsidRPr="00233FDB" w:rsidRDefault="008423E4" w:rsidP="00592B86">
            <w:pPr>
              <w:rPr>
                <w:b/>
              </w:rPr>
            </w:pPr>
          </w:p>
        </w:tc>
      </w:tr>
      <w:tr w:rsidR="00032DD3" w14:paraId="69043021" w14:textId="77777777" w:rsidTr="00345119">
        <w:tc>
          <w:tcPr>
            <w:tcW w:w="9576" w:type="dxa"/>
          </w:tcPr>
          <w:p w14:paraId="4AF30B45" w14:textId="3AF6A4DF" w:rsidR="00CD126D" w:rsidRPr="00A0212A" w:rsidRDefault="00CD126D" w:rsidP="00592B86">
            <w:pPr>
              <w:jc w:val="both"/>
            </w:pPr>
          </w:p>
        </w:tc>
      </w:tr>
      <w:tr w:rsidR="00032DD3" w14:paraId="0ECC5BBE" w14:textId="77777777" w:rsidTr="00345119">
        <w:tc>
          <w:tcPr>
            <w:tcW w:w="9576" w:type="dxa"/>
          </w:tcPr>
          <w:p w14:paraId="7267AFB3" w14:textId="77777777" w:rsidR="003E039D" w:rsidRPr="009C1E9A" w:rsidRDefault="003E039D" w:rsidP="00592B86">
            <w:pPr>
              <w:rPr>
                <w:b/>
                <w:u w:val="single"/>
              </w:rPr>
            </w:pPr>
          </w:p>
        </w:tc>
      </w:tr>
      <w:tr w:rsidR="00032DD3" w14:paraId="7734E041" w14:textId="77777777" w:rsidTr="00345119">
        <w:tc>
          <w:tcPr>
            <w:tcW w:w="9576" w:type="dxa"/>
          </w:tcPr>
          <w:p w14:paraId="7A50575F" w14:textId="77777777" w:rsidR="003E039D" w:rsidRPr="003E039D" w:rsidRDefault="003E039D" w:rsidP="00592B86">
            <w:pPr>
              <w:jc w:val="both"/>
            </w:pPr>
          </w:p>
        </w:tc>
      </w:tr>
    </w:tbl>
    <w:p w14:paraId="77A8F246" w14:textId="77777777" w:rsidR="008423E4" w:rsidRPr="00BE0E75" w:rsidRDefault="008423E4" w:rsidP="00592B86">
      <w:pPr>
        <w:jc w:val="both"/>
        <w:rPr>
          <w:rFonts w:ascii="Arial" w:hAnsi="Arial"/>
          <w:sz w:val="16"/>
          <w:szCs w:val="16"/>
        </w:rPr>
      </w:pPr>
    </w:p>
    <w:p w14:paraId="27636ED4" w14:textId="77777777" w:rsidR="004108C3" w:rsidRPr="008423E4" w:rsidRDefault="004108C3" w:rsidP="00592B8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6705" w14:textId="77777777" w:rsidR="00CD6A02" w:rsidRDefault="00CD6A02">
      <w:r>
        <w:separator/>
      </w:r>
    </w:p>
  </w:endnote>
  <w:endnote w:type="continuationSeparator" w:id="0">
    <w:p w14:paraId="7E5780EC" w14:textId="77777777" w:rsidR="00CD6A02" w:rsidRDefault="00CD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6B7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32DD3" w14:paraId="765F5979" w14:textId="77777777" w:rsidTr="009C1E9A">
      <w:trPr>
        <w:cantSplit/>
      </w:trPr>
      <w:tc>
        <w:tcPr>
          <w:tcW w:w="0" w:type="pct"/>
        </w:tcPr>
        <w:p w14:paraId="79AF3A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7506F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E9A173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7963C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3F4EE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32DD3" w14:paraId="27DBEF6A" w14:textId="77777777" w:rsidTr="009C1E9A">
      <w:trPr>
        <w:cantSplit/>
      </w:trPr>
      <w:tc>
        <w:tcPr>
          <w:tcW w:w="0" w:type="pct"/>
        </w:tcPr>
        <w:p w14:paraId="42F864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3D1174" w14:textId="08E0F176" w:rsidR="00EC379B" w:rsidRPr="009C1E9A" w:rsidRDefault="00CD6A0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26380-D</w:t>
          </w:r>
        </w:p>
      </w:tc>
      <w:tc>
        <w:tcPr>
          <w:tcW w:w="2453" w:type="pct"/>
        </w:tcPr>
        <w:p w14:paraId="17D37FD6" w14:textId="55379E62" w:rsidR="00EC379B" w:rsidRDefault="00CD6A0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20589">
            <w:t>25.116.750</w:t>
          </w:r>
          <w:r>
            <w:fldChar w:fldCharType="end"/>
          </w:r>
        </w:p>
      </w:tc>
    </w:tr>
    <w:tr w:rsidR="00032DD3" w14:paraId="76E427DD" w14:textId="77777777" w:rsidTr="009C1E9A">
      <w:trPr>
        <w:cantSplit/>
      </w:trPr>
      <w:tc>
        <w:tcPr>
          <w:tcW w:w="0" w:type="pct"/>
        </w:tcPr>
        <w:p w14:paraId="3B7C719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01EEE59" w14:textId="34F515D9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DAA982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49C2FD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32DD3" w14:paraId="31981C1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9DA448B" w14:textId="77777777" w:rsidR="00EC379B" w:rsidRDefault="00CD6A0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5845AB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37B0F8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F2E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A915" w14:textId="77777777" w:rsidR="00CD6A02" w:rsidRDefault="00CD6A02">
      <w:r>
        <w:separator/>
      </w:r>
    </w:p>
  </w:footnote>
  <w:footnote w:type="continuationSeparator" w:id="0">
    <w:p w14:paraId="14BFA86A" w14:textId="77777777" w:rsidR="00CD6A02" w:rsidRDefault="00CD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C26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B11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614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5E99"/>
    <w:multiLevelType w:val="hybridMultilevel"/>
    <w:tmpl w:val="BFE41274"/>
    <w:lvl w:ilvl="0" w:tplc="2714A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EEE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900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4B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24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CE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070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68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068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82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94"/>
    <w:rsid w:val="00000A70"/>
    <w:rsid w:val="000032B8"/>
    <w:rsid w:val="00003B06"/>
    <w:rsid w:val="000054B9"/>
    <w:rsid w:val="00007461"/>
    <w:rsid w:val="00007FBC"/>
    <w:rsid w:val="0001117E"/>
    <w:rsid w:val="000111B9"/>
    <w:rsid w:val="0001125F"/>
    <w:rsid w:val="0001338E"/>
    <w:rsid w:val="00013D24"/>
    <w:rsid w:val="00014AF0"/>
    <w:rsid w:val="000155D6"/>
    <w:rsid w:val="00015D4E"/>
    <w:rsid w:val="00020589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DD3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501B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63B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1A9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0E17"/>
    <w:rsid w:val="001B26D8"/>
    <w:rsid w:val="001B3BFA"/>
    <w:rsid w:val="001B75B8"/>
    <w:rsid w:val="001C1230"/>
    <w:rsid w:val="001C56EA"/>
    <w:rsid w:val="001C60B5"/>
    <w:rsid w:val="001C61B0"/>
    <w:rsid w:val="001C7957"/>
    <w:rsid w:val="001C7DB8"/>
    <w:rsid w:val="001C7EA8"/>
    <w:rsid w:val="001D1711"/>
    <w:rsid w:val="001D2560"/>
    <w:rsid w:val="001D2A01"/>
    <w:rsid w:val="001D2EF6"/>
    <w:rsid w:val="001D37A8"/>
    <w:rsid w:val="001D462E"/>
    <w:rsid w:val="001D6A0C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6FAE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30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3AD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87F0C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2B0"/>
    <w:rsid w:val="003B66B6"/>
    <w:rsid w:val="003B7984"/>
    <w:rsid w:val="003B7AF6"/>
    <w:rsid w:val="003C0411"/>
    <w:rsid w:val="003C0B1D"/>
    <w:rsid w:val="003C1871"/>
    <w:rsid w:val="003C1C55"/>
    <w:rsid w:val="003C25EA"/>
    <w:rsid w:val="003C36FD"/>
    <w:rsid w:val="003C664C"/>
    <w:rsid w:val="003D18FD"/>
    <w:rsid w:val="003D726D"/>
    <w:rsid w:val="003E039D"/>
    <w:rsid w:val="003E0875"/>
    <w:rsid w:val="003E0BB8"/>
    <w:rsid w:val="003E6CB0"/>
    <w:rsid w:val="003E74FB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455"/>
    <w:rsid w:val="00452FC3"/>
    <w:rsid w:val="00454715"/>
    <w:rsid w:val="00455936"/>
    <w:rsid w:val="00455ACE"/>
    <w:rsid w:val="00461B69"/>
    <w:rsid w:val="00462B3D"/>
    <w:rsid w:val="00474927"/>
    <w:rsid w:val="00475913"/>
    <w:rsid w:val="00477338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4EC0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B86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B78"/>
    <w:rsid w:val="005B3298"/>
    <w:rsid w:val="005B3C13"/>
    <w:rsid w:val="005B5516"/>
    <w:rsid w:val="005B5D2B"/>
    <w:rsid w:val="005C1496"/>
    <w:rsid w:val="005C17C5"/>
    <w:rsid w:val="005C2B21"/>
    <w:rsid w:val="005C2C00"/>
    <w:rsid w:val="005C3CB7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0DD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1AE"/>
    <w:rsid w:val="006823AA"/>
    <w:rsid w:val="0068302A"/>
    <w:rsid w:val="00684B98"/>
    <w:rsid w:val="00685DC9"/>
    <w:rsid w:val="00687465"/>
    <w:rsid w:val="006907CF"/>
    <w:rsid w:val="0069120D"/>
    <w:rsid w:val="00691CCF"/>
    <w:rsid w:val="00693687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915"/>
    <w:rsid w:val="006D3005"/>
    <w:rsid w:val="006D504F"/>
    <w:rsid w:val="006E0CAC"/>
    <w:rsid w:val="006E1CFB"/>
    <w:rsid w:val="006E1F94"/>
    <w:rsid w:val="006E26C1"/>
    <w:rsid w:val="006E30A8"/>
    <w:rsid w:val="006E45B0"/>
    <w:rsid w:val="006E469F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6008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258A"/>
    <w:rsid w:val="00764786"/>
    <w:rsid w:val="00766E12"/>
    <w:rsid w:val="0077098E"/>
    <w:rsid w:val="00771287"/>
    <w:rsid w:val="0077149E"/>
    <w:rsid w:val="00771BBB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FA4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7F7DCA"/>
    <w:rsid w:val="00800C63"/>
    <w:rsid w:val="00802243"/>
    <w:rsid w:val="008023D4"/>
    <w:rsid w:val="00804124"/>
    <w:rsid w:val="00805402"/>
    <w:rsid w:val="0080765F"/>
    <w:rsid w:val="00807CFD"/>
    <w:rsid w:val="00812BE3"/>
    <w:rsid w:val="00814108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4E9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BC3"/>
    <w:rsid w:val="008D27A5"/>
    <w:rsid w:val="008D2AAB"/>
    <w:rsid w:val="008D309C"/>
    <w:rsid w:val="008D58F9"/>
    <w:rsid w:val="008D7427"/>
    <w:rsid w:val="008E3338"/>
    <w:rsid w:val="008E47BE"/>
    <w:rsid w:val="008F09DF"/>
    <w:rsid w:val="008F166D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653F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E3C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6EEA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12A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317C"/>
    <w:rsid w:val="00A1446F"/>
    <w:rsid w:val="00A151B5"/>
    <w:rsid w:val="00A220FF"/>
    <w:rsid w:val="00A227E0"/>
    <w:rsid w:val="00A232E4"/>
    <w:rsid w:val="00A24AAD"/>
    <w:rsid w:val="00A24DC3"/>
    <w:rsid w:val="00A26A8A"/>
    <w:rsid w:val="00A27255"/>
    <w:rsid w:val="00A32304"/>
    <w:rsid w:val="00A33C2E"/>
    <w:rsid w:val="00A3420E"/>
    <w:rsid w:val="00A346F3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3B1"/>
    <w:rsid w:val="00AF7C74"/>
    <w:rsid w:val="00B000AF"/>
    <w:rsid w:val="00B04E79"/>
    <w:rsid w:val="00B07488"/>
    <w:rsid w:val="00B075A2"/>
    <w:rsid w:val="00B1013F"/>
    <w:rsid w:val="00B10DD2"/>
    <w:rsid w:val="00B115DC"/>
    <w:rsid w:val="00B11952"/>
    <w:rsid w:val="00B135A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366"/>
    <w:rsid w:val="00B82454"/>
    <w:rsid w:val="00B838D3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D2E"/>
    <w:rsid w:val="00C42B41"/>
    <w:rsid w:val="00C46166"/>
    <w:rsid w:val="00C4710D"/>
    <w:rsid w:val="00C50CAD"/>
    <w:rsid w:val="00C5381F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5A2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78C"/>
    <w:rsid w:val="00CC24B7"/>
    <w:rsid w:val="00CC7131"/>
    <w:rsid w:val="00CC7B9E"/>
    <w:rsid w:val="00CD06CA"/>
    <w:rsid w:val="00CD076A"/>
    <w:rsid w:val="00CD126D"/>
    <w:rsid w:val="00CD180C"/>
    <w:rsid w:val="00CD37DA"/>
    <w:rsid w:val="00CD4F2C"/>
    <w:rsid w:val="00CD5165"/>
    <w:rsid w:val="00CD6A02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A15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AA0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6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450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7"/>
    <w:rsid w:val="00DF5EBD"/>
    <w:rsid w:val="00DF6BA8"/>
    <w:rsid w:val="00DF78EA"/>
    <w:rsid w:val="00DF7BDB"/>
    <w:rsid w:val="00DF7CA3"/>
    <w:rsid w:val="00DF7F0D"/>
    <w:rsid w:val="00E00D5A"/>
    <w:rsid w:val="00E0114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5B8"/>
    <w:rsid w:val="00E529C8"/>
    <w:rsid w:val="00E55DA0"/>
    <w:rsid w:val="00E56033"/>
    <w:rsid w:val="00E61159"/>
    <w:rsid w:val="00E625DA"/>
    <w:rsid w:val="00E634DC"/>
    <w:rsid w:val="00E667F3"/>
    <w:rsid w:val="00E66AC7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111"/>
    <w:rsid w:val="00EA16AC"/>
    <w:rsid w:val="00EA385A"/>
    <w:rsid w:val="00EA3931"/>
    <w:rsid w:val="00EA658E"/>
    <w:rsid w:val="00EA7A88"/>
    <w:rsid w:val="00EB27F2"/>
    <w:rsid w:val="00EB38EE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648"/>
    <w:rsid w:val="00EF10BA"/>
    <w:rsid w:val="00EF1738"/>
    <w:rsid w:val="00EF2BAF"/>
    <w:rsid w:val="00EF3B8F"/>
    <w:rsid w:val="00EF537C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43CB"/>
    <w:rsid w:val="00F05397"/>
    <w:rsid w:val="00F0638C"/>
    <w:rsid w:val="00F07839"/>
    <w:rsid w:val="00F11E04"/>
    <w:rsid w:val="00F128FB"/>
    <w:rsid w:val="00F12B24"/>
    <w:rsid w:val="00F12BC7"/>
    <w:rsid w:val="00F15223"/>
    <w:rsid w:val="00F164B4"/>
    <w:rsid w:val="00F176E4"/>
    <w:rsid w:val="00F20E5F"/>
    <w:rsid w:val="00F230FB"/>
    <w:rsid w:val="00F25C26"/>
    <w:rsid w:val="00F25CC2"/>
    <w:rsid w:val="00F27573"/>
    <w:rsid w:val="00F307B6"/>
    <w:rsid w:val="00F30EB8"/>
    <w:rsid w:val="00F31876"/>
    <w:rsid w:val="00F31C67"/>
    <w:rsid w:val="00F3620B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F92"/>
    <w:rsid w:val="00F4569E"/>
    <w:rsid w:val="00F45AFC"/>
    <w:rsid w:val="00F462F4"/>
    <w:rsid w:val="00F46CC4"/>
    <w:rsid w:val="00F50130"/>
    <w:rsid w:val="00F512D9"/>
    <w:rsid w:val="00F52402"/>
    <w:rsid w:val="00F54B59"/>
    <w:rsid w:val="00F5605D"/>
    <w:rsid w:val="00F60E94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2D72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23F6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793C60-05A0-4B04-B526-BB89BABC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60E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60E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0E9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0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0E94"/>
    <w:rPr>
      <w:b/>
      <w:bCs/>
    </w:rPr>
  </w:style>
  <w:style w:type="paragraph" w:styleId="Revision">
    <w:name w:val="Revision"/>
    <w:hidden/>
    <w:uiPriority w:val="99"/>
    <w:semiHidden/>
    <w:rsid w:val="003403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4E97"/>
    <w:pPr>
      <w:ind w:left="720"/>
      <w:contextualSpacing/>
    </w:pPr>
  </w:style>
  <w:style w:type="character" w:styleId="Hyperlink">
    <w:name w:val="Hyperlink"/>
    <w:basedOn w:val="DefaultParagraphFont"/>
    <w:unhideWhenUsed/>
    <w:rsid w:val="00B838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8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838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1900</Characters>
  <Application>Microsoft Office Word</Application>
  <DocSecurity>0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HB01337 (Committee Report (Unamended))</vt:lpstr>
    </vt:vector>
  </TitlesOfParts>
  <Company>State of Texas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26380</dc:subject>
  <dc:creator>State of Texas</dc:creator>
  <dc:description>SB 706 by Schwertner-(H)Homeland Security, Public Safety &amp; Veterans' Affairs</dc:description>
  <cp:lastModifiedBy>Damian Duarte</cp:lastModifiedBy>
  <cp:revision>2</cp:revision>
  <cp:lastPrinted>2003-11-26T17:21:00Z</cp:lastPrinted>
  <dcterms:created xsi:type="dcterms:W3CDTF">2025-05-01T20:08:00Z</dcterms:created>
  <dcterms:modified xsi:type="dcterms:W3CDTF">2025-05-01T20:08:00Z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25.116.750</vt:lpwstr>
  </property>
</Properties>
</file>