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D0E67" w:rsidRDefault="00ED0E6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6CBE21FD0F7438497AACAD68F609DF6"/>
          </w:placeholder>
        </w:sdtPr>
        <w:sdtContent>
          <w:r w:rsidRPr="005C2A78">
            <w:rPr>
              <w:rFonts w:cs="Times New Roman"/>
              <w:b/>
              <w:szCs w:val="24"/>
              <w:u w:val="single"/>
            </w:rPr>
            <w:t>BILL ANALYSIS</w:t>
          </w:r>
        </w:sdtContent>
      </w:sdt>
    </w:p>
    <w:p w:rsidR="00ED0E67" w:rsidRPr="00585C31" w:rsidRDefault="00ED0E67" w:rsidP="000F1DF9">
      <w:pPr>
        <w:spacing w:after="0" w:line="240" w:lineRule="auto"/>
        <w:rPr>
          <w:rFonts w:cs="Times New Roman"/>
          <w:szCs w:val="24"/>
        </w:rPr>
      </w:pPr>
    </w:p>
    <w:p w:rsidR="00ED0E67" w:rsidRPr="00585C31" w:rsidRDefault="00ED0E6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D0E67" w:rsidTr="000F1DF9">
        <w:tc>
          <w:tcPr>
            <w:tcW w:w="2718" w:type="dxa"/>
          </w:tcPr>
          <w:p w:rsidR="00ED0E67" w:rsidRPr="005C2A78" w:rsidRDefault="00ED0E67" w:rsidP="006D756B">
            <w:pPr>
              <w:rPr>
                <w:rFonts w:cs="Times New Roman"/>
                <w:szCs w:val="24"/>
              </w:rPr>
            </w:pPr>
            <w:sdt>
              <w:sdtPr>
                <w:rPr>
                  <w:rFonts w:cs="Times New Roman"/>
                  <w:szCs w:val="24"/>
                </w:rPr>
                <w:alias w:val="Agency Title"/>
                <w:tag w:val="AgencyTitleContentControl"/>
                <w:id w:val="1920747753"/>
                <w:lock w:val="sdtContentLocked"/>
                <w:placeholder>
                  <w:docPart w:val="297FAB25BB004712A21E26DC62C6DA29"/>
                </w:placeholder>
              </w:sdtPr>
              <w:sdtEndPr>
                <w:rPr>
                  <w:rFonts w:cstheme="minorBidi"/>
                  <w:szCs w:val="22"/>
                </w:rPr>
              </w:sdtEndPr>
              <w:sdtContent>
                <w:r>
                  <w:rPr>
                    <w:rFonts w:cs="Times New Roman"/>
                    <w:szCs w:val="24"/>
                  </w:rPr>
                  <w:t>Senate Research Center</w:t>
                </w:r>
              </w:sdtContent>
            </w:sdt>
          </w:p>
        </w:tc>
        <w:tc>
          <w:tcPr>
            <w:tcW w:w="6858" w:type="dxa"/>
          </w:tcPr>
          <w:p w:rsidR="00ED0E67" w:rsidRPr="00FF6471" w:rsidRDefault="00ED0E67" w:rsidP="000F1DF9">
            <w:pPr>
              <w:jc w:val="right"/>
              <w:rPr>
                <w:rFonts w:cs="Times New Roman"/>
                <w:szCs w:val="24"/>
              </w:rPr>
            </w:pPr>
            <w:sdt>
              <w:sdtPr>
                <w:rPr>
                  <w:rFonts w:cs="Times New Roman"/>
                  <w:szCs w:val="24"/>
                </w:rPr>
                <w:alias w:val="Bill Number"/>
                <w:tag w:val="BillNumberOne"/>
                <w:id w:val="-410784069"/>
                <w:lock w:val="sdtContentLocked"/>
                <w:placeholder>
                  <w:docPart w:val="975C46283C304DF9A395A932DB7E8592"/>
                </w:placeholder>
              </w:sdtPr>
              <w:sdtContent>
                <w:r>
                  <w:rPr>
                    <w:rFonts w:cs="Times New Roman"/>
                    <w:szCs w:val="24"/>
                  </w:rPr>
                  <w:t>C.S.S.B. 746</w:t>
                </w:r>
              </w:sdtContent>
            </w:sdt>
          </w:p>
        </w:tc>
      </w:tr>
      <w:tr w:rsidR="00ED0E67" w:rsidTr="000F1DF9">
        <w:sdt>
          <w:sdtPr>
            <w:rPr>
              <w:rFonts w:cs="Times New Roman"/>
              <w:szCs w:val="24"/>
            </w:rPr>
            <w:alias w:val="TLCNumber"/>
            <w:tag w:val="TLCNumber"/>
            <w:id w:val="-542600604"/>
            <w:lock w:val="sdtLocked"/>
            <w:placeholder>
              <w:docPart w:val="402DACC38F024BFBA16F46417A464B72"/>
            </w:placeholder>
          </w:sdtPr>
          <w:sdtContent>
            <w:tc>
              <w:tcPr>
                <w:tcW w:w="2718" w:type="dxa"/>
              </w:tcPr>
              <w:p w:rsidR="00ED0E67" w:rsidRPr="000F1DF9" w:rsidRDefault="00ED0E67" w:rsidP="00C65088">
                <w:pPr>
                  <w:rPr>
                    <w:rFonts w:cs="Times New Roman"/>
                    <w:szCs w:val="24"/>
                  </w:rPr>
                </w:pPr>
                <w:r>
                  <w:rPr>
                    <w:rFonts w:cs="Times New Roman"/>
                    <w:szCs w:val="24"/>
                  </w:rPr>
                  <w:t>89R20609 KFF-F</w:t>
                </w:r>
              </w:p>
            </w:tc>
          </w:sdtContent>
        </w:sdt>
        <w:tc>
          <w:tcPr>
            <w:tcW w:w="6858" w:type="dxa"/>
          </w:tcPr>
          <w:p w:rsidR="00ED0E67" w:rsidRPr="005C2A78" w:rsidRDefault="00ED0E67" w:rsidP="00073EDD">
            <w:pPr>
              <w:jc w:val="right"/>
              <w:rPr>
                <w:rFonts w:cs="Times New Roman"/>
                <w:szCs w:val="24"/>
              </w:rPr>
            </w:pPr>
            <w:sdt>
              <w:sdtPr>
                <w:rPr>
                  <w:rFonts w:cs="Times New Roman"/>
                  <w:szCs w:val="24"/>
                </w:rPr>
                <w:alias w:val="Author Label"/>
                <w:tag w:val="By"/>
                <w:id w:val="72399597"/>
                <w:lock w:val="sdtLocked"/>
                <w:placeholder>
                  <w:docPart w:val="620FC01EA31541B4ABECEF7452C997E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B33E2D6B81F4521AA1D5A28607523BC"/>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75213697C2E74F1490D6C642D5CB2E37"/>
                </w:placeholder>
                <w:showingPlcHdr/>
              </w:sdtPr>
              <w:sdtContent/>
            </w:sdt>
            <w:sdt>
              <w:sdtPr>
                <w:rPr>
                  <w:rFonts w:cs="Times New Roman"/>
                  <w:szCs w:val="24"/>
                </w:rPr>
                <w:alias w:val="DualSponsor"/>
                <w:tag w:val="DualSponsor"/>
                <w:id w:val="1029379812"/>
                <w:lock w:val="sdtContentLocked"/>
                <w:placeholder>
                  <w:docPart w:val="13767B98446A4790917BD7517DCA9405"/>
                </w:placeholder>
                <w:showingPlcHdr/>
              </w:sdtPr>
              <w:sdtContent/>
            </w:sdt>
          </w:p>
        </w:tc>
      </w:tr>
      <w:tr w:rsidR="00ED0E67" w:rsidTr="000F1DF9">
        <w:tc>
          <w:tcPr>
            <w:tcW w:w="2718" w:type="dxa"/>
          </w:tcPr>
          <w:p w:rsidR="00ED0E67" w:rsidRPr="00BC7495" w:rsidRDefault="00ED0E67" w:rsidP="000F1DF9">
            <w:pPr>
              <w:rPr>
                <w:rFonts w:cs="Times New Roman"/>
                <w:szCs w:val="24"/>
              </w:rPr>
            </w:pPr>
          </w:p>
        </w:tc>
        <w:sdt>
          <w:sdtPr>
            <w:rPr>
              <w:rFonts w:cs="Times New Roman"/>
              <w:szCs w:val="24"/>
            </w:rPr>
            <w:alias w:val="Committee"/>
            <w:tag w:val="Committee"/>
            <w:id w:val="1914272295"/>
            <w:lock w:val="sdtContentLocked"/>
            <w:placeholder>
              <w:docPart w:val="AF73C01B36D34943BA123BDD7BDB3940"/>
            </w:placeholder>
          </w:sdtPr>
          <w:sdtContent>
            <w:tc>
              <w:tcPr>
                <w:tcW w:w="6858" w:type="dxa"/>
              </w:tcPr>
              <w:p w:rsidR="00ED0E67" w:rsidRPr="00FF6471" w:rsidRDefault="00ED0E67" w:rsidP="000F1DF9">
                <w:pPr>
                  <w:jc w:val="right"/>
                  <w:rPr>
                    <w:rFonts w:cs="Times New Roman"/>
                    <w:szCs w:val="24"/>
                  </w:rPr>
                </w:pPr>
                <w:r>
                  <w:rPr>
                    <w:rFonts w:cs="Times New Roman"/>
                    <w:szCs w:val="24"/>
                  </w:rPr>
                  <w:t>Jurisprudence</w:t>
                </w:r>
              </w:p>
            </w:tc>
          </w:sdtContent>
        </w:sdt>
      </w:tr>
      <w:tr w:rsidR="00ED0E67" w:rsidTr="000F1DF9">
        <w:tc>
          <w:tcPr>
            <w:tcW w:w="2718" w:type="dxa"/>
          </w:tcPr>
          <w:p w:rsidR="00ED0E67" w:rsidRPr="00BC7495" w:rsidRDefault="00ED0E67" w:rsidP="000F1DF9">
            <w:pPr>
              <w:rPr>
                <w:rFonts w:cs="Times New Roman"/>
                <w:szCs w:val="24"/>
              </w:rPr>
            </w:pPr>
          </w:p>
        </w:tc>
        <w:sdt>
          <w:sdtPr>
            <w:rPr>
              <w:rFonts w:cs="Times New Roman"/>
              <w:szCs w:val="24"/>
            </w:rPr>
            <w:alias w:val="Date"/>
            <w:tag w:val="DateContentControl"/>
            <w:id w:val="1178081906"/>
            <w:lock w:val="sdtLocked"/>
            <w:placeholder>
              <w:docPart w:val="383ED14B0CEB4FE88A02555C782450C6"/>
            </w:placeholder>
            <w:date w:fullDate="2025-03-19T00:00:00Z">
              <w:dateFormat w:val="M/d/yyyy"/>
              <w:lid w:val="en-US"/>
              <w:storeMappedDataAs w:val="dateTime"/>
              <w:calendar w:val="gregorian"/>
            </w:date>
          </w:sdtPr>
          <w:sdtContent>
            <w:tc>
              <w:tcPr>
                <w:tcW w:w="6858" w:type="dxa"/>
              </w:tcPr>
              <w:p w:rsidR="00ED0E67" w:rsidRPr="00FF6471" w:rsidRDefault="00ED0E67" w:rsidP="000F1DF9">
                <w:pPr>
                  <w:jc w:val="right"/>
                  <w:rPr>
                    <w:rFonts w:cs="Times New Roman"/>
                    <w:szCs w:val="24"/>
                  </w:rPr>
                </w:pPr>
                <w:r>
                  <w:rPr>
                    <w:rFonts w:cs="Times New Roman"/>
                    <w:szCs w:val="24"/>
                  </w:rPr>
                  <w:t>3/19/2025</w:t>
                </w:r>
              </w:p>
            </w:tc>
          </w:sdtContent>
        </w:sdt>
      </w:tr>
      <w:tr w:rsidR="00ED0E67" w:rsidTr="000F1DF9">
        <w:tc>
          <w:tcPr>
            <w:tcW w:w="2718" w:type="dxa"/>
          </w:tcPr>
          <w:p w:rsidR="00ED0E67" w:rsidRPr="00BC7495" w:rsidRDefault="00ED0E67" w:rsidP="000F1DF9">
            <w:pPr>
              <w:rPr>
                <w:rFonts w:cs="Times New Roman"/>
                <w:szCs w:val="24"/>
              </w:rPr>
            </w:pPr>
          </w:p>
        </w:tc>
        <w:sdt>
          <w:sdtPr>
            <w:rPr>
              <w:rFonts w:cs="Times New Roman"/>
              <w:szCs w:val="24"/>
            </w:rPr>
            <w:alias w:val="BA Version"/>
            <w:tag w:val="BAVersion"/>
            <w:id w:val="-1685590809"/>
            <w:lock w:val="sdtContentLocked"/>
            <w:placeholder>
              <w:docPart w:val="91183C2847C5430C820CD0403F5F5409"/>
            </w:placeholder>
          </w:sdtPr>
          <w:sdtContent>
            <w:tc>
              <w:tcPr>
                <w:tcW w:w="6858" w:type="dxa"/>
              </w:tcPr>
              <w:p w:rsidR="00ED0E67" w:rsidRPr="00FF6471" w:rsidRDefault="00ED0E67" w:rsidP="000F1DF9">
                <w:pPr>
                  <w:jc w:val="right"/>
                  <w:rPr>
                    <w:rFonts w:cs="Times New Roman"/>
                    <w:szCs w:val="24"/>
                  </w:rPr>
                </w:pPr>
                <w:r>
                  <w:rPr>
                    <w:rFonts w:cs="Times New Roman"/>
                    <w:szCs w:val="24"/>
                  </w:rPr>
                  <w:t>Committee Report (Substituted)</w:t>
                </w:r>
              </w:p>
            </w:tc>
          </w:sdtContent>
        </w:sdt>
      </w:tr>
    </w:tbl>
    <w:p w:rsidR="00ED0E67" w:rsidRPr="00FF6471" w:rsidRDefault="00ED0E67" w:rsidP="000F1DF9">
      <w:pPr>
        <w:spacing w:after="0" w:line="240" w:lineRule="auto"/>
        <w:rPr>
          <w:rFonts w:cs="Times New Roman"/>
          <w:szCs w:val="24"/>
        </w:rPr>
      </w:pPr>
    </w:p>
    <w:p w:rsidR="00ED0E67" w:rsidRPr="00FF6471" w:rsidRDefault="00ED0E67" w:rsidP="000F1DF9">
      <w:pPr>
        <w:spacing w:after="0" w:line="240" w:lineRule="auto"/>
        <w:rPr>
          <w:rFonts w:cs="Times New Roman"/>
          <w:szCs w:val="24"/>
        </w:rPr>
      </w:pPr>
    </w:p>
    <w:p w:rsidR="00ED0E67" w:rsidRPr="00FF6471" w:rsidRDefault="00ED0E6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0247D5577BA400F974B0BB2F496A42A"/>
        </w:placeholder>
      </w:sdtPr>
      <w:sdtContent>
        <w:p w:rsidR="00ED0E67" w:rsidRDefault="00ED0E6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96F2E8639A642BF9306FD290F6908AE"/>
        </w:placeholder>
      </w:sdtPr>
      <w:sdtContent>
        <w:p w:rsidR="00ED0E67" w:rsidRDefault="00ED0E67" w:rsidP="00617304">
          <w:pPr>
            <w:pStyle w:val="NormalWeb"/>
            <w:spacing w:before="0" w:beforeAutospacing="0" w:after="0" w:afterAutospacing="0"/>
            <w:jc w:val="both"/>
            <w:divId w:val="438913159"/>
            <w:rPr>
              <w:rFonts w:eastAsia="Times New Roman"/>
              <w:bCs/>
            </w:rPr>
          </w:pPr>
        </w:p>
        <w:p w:rsidR="00ED0E67" w:rsidRPr="00EF7C34" w:rsidRDefault="00ED0E67" w:rsidP="00617304">
          <w:pPr>
            <w:pStyle w:val="NormalWeb"/>
            <w:spacing w:before="0" w:beforeAutospacing="0" w:after="0" w:afterAutospacing="0"/>
            <w:jc w:val="both"/>
            <w:divId w:val="438913159"/>
          </w:pPr>
          <w:r w:rsidRPr="00EF7C34">
            <w:t>The Texas Real Estate &amp; Probate Institute (T-REP) made several guardianship recommendations during the interim to address issues such as conflicts of interest and procedural inefficiencies that put vulnerable persons at risk. Specifically, current law does not prohibit persons with interests adverse to a person under guardianship from filing for the appointment or removal of a guardian, allowing potential conflicts of interest in guardianship proceedings. Courts can appoint a guardian ad litem only for someone already found to be incapacitated, which may delay legal representation for those in need of protection. What</w:t>
          </w:r>
          <w:r>
            <w:t>'</w:t>
          </w:r>
          <w:r w:rsidRPr="00EF7C34">
            <w:t>s more, guardians risk losing their authority if courts do not approve their required annual reports or accounts in a timely manner, creating uncertainty and potential disruptions in guardianship management.</w:t>
          </w:r>
        </w:p>
        <w:p w:rsidR="00ED0E67" w:rsidRPr="00EF7C34" w:rsidRDefault="00ED0E67" w:rsidP="00617304">
          <w:pPr>
            <w:pStyle w:val="NormalWeb"/>
            <w:spacing w:before="0" w:beforeAutospacing="0" w:after="0" w:afterAutospacing="0"/>
            <w:jc w:val="both"/>
            <w:divId w:val="438913159"/>
          </w:pPr>
          <w:r w:rsidRPr="00EF7C34">
            <w:t> </w:t>
          </w:r>
        </w:p>
        <w:p w:rsidR="00ED0E67" w:rsidRPr="00EF7C34" w:rsidRDefault="00ED0E67" w:rsidP="00617304">
          <w:pPr>
            <w:pStyle w:val="NormalWeb"/>
            <w:spacing w:before="0" w:beforeAutospacing="0" w:after="0" w:afterAutospacing="0"/>
            <w:jc w:val="both"/>
            <w:divId w:val="438913159"/>
          </w:pPr>
          <w:r w:rsidRPr="00EF7C34">
            <w:t>C</w:t>
          </w:r>
          <w:r>
            <w:t>.</w:t>
          </w:r>
          <w:r w:rsidRPr="00EF7C34">
            <w:t>S</w:t>
          </w:r>
          <w:r>
            <w:t>.</w:t>
          </w:r>
          <w:r w:rsidRPr="00EF7C34">
            <w:t>S</w:t>
          </w:r>
          <w:r>
            <w:t>.</w:t>
          </w:r>
          <w:r w:rsidRPr="00EF7C34">
            <w:t>B</w:t>
          </w:r>
          <w:r>
            <w:t>.</w:t>
          </w:r>
          <w:r w:rsidRPr="00EF7C34">
            <w:t xml:space="preserve"> 746 would address these concerns by prohibiting persons with interests adverse to the person under guardianship from seeking appointment, removal, or contesting the removal of a guardian. What</w:t>
          </w:r>
          <w:r>
            <w:t>'</w:t>
          </w:r>
          <w:r w:rsidRPr="00EF7C34">
            <w:t>s more, C</w:t>
          </w:r>
          <w:r>
            <w:t>.</w:t>
          </w:r>
          <w:r w:rsidRPr="00EF7C34">
            <w:t>S</w:t>
          </w:r>
          <w:r>
            <w:t>.</w:t>
          </w:r>
          <w:r w:rsidRPr="00EF7C34">
            <w:t>S</w:t>
          </w:r>
          <w:r>
            <w:t>.</w:t>
          </w:r>
          <w:r w:rsidRPr="00EF7C34">
            <w:t>B</w:t>
          </w:r>
          <w:r>
            <w:t>.</w:t>
          </w:r>
          <w:r w:rsidRPr="00EF7C34">
            <w:t xml:space="preserve"> 746 would clarify that a judge may appoint a guardian ad litem to represent the best interests of an alleged incapacitated person in a guardianship proceeding and require a judge to approve or request a revised annual account from a guardian of the estate within 30 days. Lastly, C</w:t>
          </w:r>
          <w:r>
            <w:t>.</w:t>
          </w:r>
          <w:r w:rsidRPr="00EF7C34">
            <w:t>S</w:t>
          </w:r>
          <w:r>
            <w:t>.</w:t>
          </w:r>
          <w:r w:rsidRPr="00EF7C34">
            <w:t>S</w:t>
          </w:r>
          <w:r>
            <w:t>.</w:t>
          </w:r>
          <w:r w:rsidRPr="00EF7C34">
            <w:t>B</w:t>
          </w:r>
          <w:r>
            <w:t>.</w:t>
          </w:r>
          <w:r w:rsidRPr="00EF7C34">
            <w:t xml:space="preserve"> 746 would create a 30</w:t>
          </w:r>
          <w:r>
            <w:t>-</w:t>
          </w:r>
          <w:r w:rsidRPr="00EF7C34">
            <w:t>day deadline for a guardian to file a new annual account report ordered by the court, ensuring they are filed in a timely manner.</w:t>
          </w:r>
        </w:p>
        <w:p w:rsidR="00ED0E67" w:rsidRPr="00D70925" w:rsidRDefault="00ED0E67" w:rsidP="00617304">
          <w:pPr>
            <w:spacing w:after="0" w:line="240" w:lineRule="auto"/>
            <w:jc w:val="both"/>
            <w:rPr>
              <w:rFonts w:eastAsia="Times New Roman" w:cs="Times New Roman"/>
              <w:bCs/>
              <w:szCs w:val="24"/>
            </w:rPr>
          </w:pPr>
        </w:p>
      </w:sdtContent>
    </w:sdt>
    <w:p w:rsidR="00ED0E67" w:rsidRDefault="00ED0E67" w:rsidP="0061730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746 </w:t>
      </w:r>
      <w:bookmarkStart w:id="1" w:name="AmendsCurrentLaw"/>
      <w:bookmarkEnd w:id="1"/>
      <w:r>
        <w:rPr>
          <w:rFonts w:cs="Times New Roman"/>
          <w:szCs w:val="24"/>
        </w:rPr>
        <w:t xml:space="preserve">amends current law relating to guardianship matters. </w:t>
      </w:r>
    </w:p>
    <w:p w:rsidR="00ED0E67" w:rsidRPr="00EF7C34" w:rsidRDefault="00ED0E67" w:rsidP="00617304">
      <w:pPr>
        <w:spacing w:after="0" w:line="240" w:lineRule="auto"/>
        <w:jc w:val="both"/>
        <w:rPr>
          <w:rFonts w:eastAsia="Times New Roman" w:cs="Times New Roman"/>
          <w:szCs w:val="24"/>
        </w:rPr>
      </w:pPr>
    </w:p>
    <w:p w:rsidR="00ED0E67" w:rsidRPr="005C2A78" w:rsidRDefault="00ED0E67" w:rsidP="00617304">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9CE2C7F8F07480891606A8B45AF5B9B"/>
          </w:placeholder>
        </w:sdtPr>
        <w:sdtContent>
          <w:r>
            <w:rPr>
              <w:rFonts w:eastAsia="Times New Roman" w:cs="Times New Roman"/>
              <w:b/>
              <w:szCs w:val="24"/>
              <w:u w:val="single"/>
            </w:rPr>
            <w:t>RULEMAKING AUTHORITY</w:t>
          </w:r>
        </w:sdtContent>
      </w:sdt>
    </w:p>
    <w:p w:rsidR="00ED0E67" w:rsidRPr="006529C4" w:rsidRDefault="00ED0E67" w:rsidP="00617304">
      <w:pPr>
        <w:spacing w:after="0" w:line="240" w:lineRule="auto"/>
        <w:jc w:val="both"/>
        <w:rPr>
          <w:rFonts w:cs="Times New Roman"/>
          <w:szCs w:val="24"/>
        </w:rPr>
      </w:pPr>
    </w:p>
    <w:p w:rsidR="00ED0E67" w:rsidRPr="006529C4" w:rsidRDefault="00ED0E67" w:rsidP="00617304">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ED0E67" w:rsidRPr="006529C4" w:rsidRDefault="00ED0E67" w:rsidP="00617304">
      <w:pPr>
        <w:spacing w:after="0" w:line="240" w:lineRule="auto"/>
        <w:jc w:val="both"/>
        <w:rPr>
          <w:rFonts w:cs="Times New Roman"/>
          <w:szCs w:val="24"/>
        </w:rPr>
      </w:pPr>
    </w:p>
    <w:p w:rsidR="00ED0E67" w:rsidRPr="005C2A78" w:rsidRDefault="00ED0E67" w:rsidP="00617304">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AE2206FFB624E809F5F4D310B985153"/>
          </w:placeholder>
        </w:sdtPr>
        <w:sdtContent>
          <w:r>
            <w:rPr>
              <w:rFonts w:eastAsia="Times New Roman" w:cs="Times New Roman"/>
              <w:b/>
              <w:szCs w:val="24"/>
              <w:u w:val="single"/>
            </w:rPr>
            <w:t>SECTION BY SECTION ANALYSIS</w:t>
          </w:r>
        </w:sdtContent>
      </w:sdt>
    </w:p>
    <w:p w:rsidR="00ED0E67" w:rsidRPr="005C2A78" w:rsidRDefault="00ED0E67" w:rsidP="00617304">
      <w:pPr>
        <w:spacing w:after="0" w:line="240" w:lineRule="auto"/>
        <w:jc w:val="both"/>
        <w:rPr>
          <w:rFonts w:eastAsia="Times New Roman" w:cs="Times New Roman"/>
          <w:szCs w:val="24"/>
        </w:rPr>
      </w:pPr>
    </w:p>
    <w:p w:rsidR="00ED0E67" w:rsidRPr="005C2A78" w:rsidRDefault="00ED0E67" w:rsidP="00617304">
      <w:pPr>
        <w:spacing w:after="0" w:line="240" w:lineRule="auto"/>
        <w:jc w:val="both"/>
        <w:rPr>
          <w:rFonts w:eastAsia="Times New Roman" w:cs="Times New Roman"/>
          <w:szCs w:val="24"/>
        </w:rPr>
      </w:pPr>
      <w:r w:rsidRPr="00EF7C34">
        <w:rPr>
          <w:rFonts w:eastAsia="Times New Roman" w:cs="Times New Roman"/>
          <w:szCs w:val="24"/>
        </w:rPr>
        <w:t>SECTION 1. Amends Section 1002.013, Estates Code, to redefine "guardian ad litem."</w:t>
      </w:r>
    </w:p>
    <w:p w:rsidR="00ED0E67" w:rsidRPr="005C2A78" w:rsidRDefault="00ED0E67" w:rsidP="00617304">
      <w:pPr>
        <w:spacing w:after="0" w:line="240" w:lineRule="auto"/>
        <w:jc w:val="both"/>
        <w:rPr>
          <w:rFonts w:eastAsia="Times New Roman" w:cs="Times New Roman"/>
          <w:szCs w:val="24"/>
        </w:rPr>
      </w:pPr>
    </w:p>
    <w:p w:rsidR="00ED0E67" w:rsidRPr="005C2A78" w:rsidRDefault="00ED0E67" w:rsidP="00617304">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w:t>
      </w:r>
      <w:r w:rsidRPr="00EF7C34">
        <w:rPr>
          <w:rFonts w:eastAsia="Times New Roman" w:cs="Times New Roman"/>
          <w:szCs w:val="24"/>
        </w:rPr>
        <w:t xml:space="preserve">Amends Section 1054.051(a), Estates Code, to authorize the judge to appoint a guardian ad litem to represent the interests of </w:t>
      </w:r>
      <w:r>
        <w:rPr>
          <w:rFonts w:eastAsia="Times New Roman" w:cs="Times New Roman"/>
          <w:szCs w:val="24"/>
        </w:rPr>
        <w:t>a</w:t>
      </w:r>
      <w:r w:rsidRPr="00EF7C34">
        <w:rPr>
          <w:rFonts w:eastAsia="Times New Roman" w:cs="Times New Roman"/>
          <w:szCs w:val="24"/>
        </w:rPr>
        <w:t xml:space="preserve"> proposed ward in a guardianship proceeding.</w:t>
      </w:r>
    </w:p>
    <w:p w:rsidR="00ED0E67" w:rsidRPr="005C2A78" w:rsidRDefault="00ED0E67" w:rsidP="00617304">
      <w:pPr>
        <w:spacing w:after="0" w:line="240" w:lineRule="auto"/>
        <w:jc w:val="both"/>
        <w:rPr>
          <w:rFonts w:eastAsia="Times New Roman" w:cs="Times New Roman"/>
          <w:szCs w:val="24"/>
        </w:rPr>
      </w:pPr>
    </w:p>
    <w:p w:rsidR="00ED0E67" w:rsidRDefault="00ED0E67" w:rsidP="00617304">
      <w:pPr>
        <w:spacing w:after="0" w:line="240" w:lineRule="auto"/>
        <w:jc w:val="both"/>
        <w:rPr>
          <w:rFonts w:eastAsia="Times New Roman" w:cs="Times New Roman"/>
          <w:szCs w:val="24"/>
        </w:rPr>
      </w:pPr>
      <w:r w:rsidRPr="005C2A78">
        <w:rPr>
          <w:rFonts w:eastAsia="Times New Roman" w:cs="Times New Roman"/>
          <w:szCs w:val="24"/>
        </w:rPr>
        <w:t xml:space="preserve">SECTION 3. </w:t>
      </w:r>
      <w:r w:rsidRPr="00EF7C34">
        <w:rPr>
          <w:rFonts w:eastAsia="Times New Roman" w:cs="Times New Roman"/>
          <w:szCs w:val="24"/>
        </w:rPr>
        <w:t>Amends Section 1054.054(b), Estates Code, to make a conforming change.</w:t>
      </w:r>
    </w:p>
    <w:p w:rsidR="00ED0E67" w:rsidRDefault="00ED0E67" w:rsidP="00617304">
      <w:pPr>
        <w:spacing w:after="0" w:line="240" w:lineRule="auto"/>
        <w:jc w:val="both"/>
        <w:rPr>
          <w:rFonts w:eastAsia="Times New Roman" w:cs="Times New Roman"/>
          <w:szCs w:val="24"/>
        </w:rPr>
      </w:pPr>
    </w:p>
    <w:p w:rsidR="00ED0E67" w:rsidRDefault="00ED0E67" w:rsidP="00617304">
      <w:pPr>
        <w:tabs>
          <w:tab w:val="left" w:pos="3120"/>
        </w:tabs>
        <w:spacing w:after="0" w:line="240" w:lineRule="auto"/>
        <w:jc w:val="both"/>
        <w:rPr>
          <w:rFonts w:eastAsia="Times New Roman" w:cs="Times New Roman"/>
          <w:szCs w:val="24"/>
        </w:rPr>
      </w:pPr>
      <w:r>
        <w:rPr>
          <w:rFonts w:eastAsia="Times New Roman" w:cs="Times New Roman"/>
          <w:szCs w:val="24"/>
        </w:rPr>
        <w:t>SECTION 4.</w:t>
      </w:r>
      <w:r w:rsidRPr="00EF7C34">
        <w:t xml:space="preserve"> </w:t>
      </w:r>
      <w:r w:rsidRPr="00EF7C34">
        <w:rPr>
          <w:rFonts w:eastAsia="Times New Roman" w:cs="Times New Roman"/>
          <w:szCs w:val="24"/>
        </w:rPr>
        <w:t>Amends Section 1054.056(a), Estates Code, to make a conforming change.</w:t>
      </w:r>
      <w:r>
        <w:rPr>
          <w:rFonts w:eastAsia="Times New Roman" w:cs="Times New Roman"/>
          <w:szCs w:val="24"/>
        </w:rPr>
        <w:tab/>
      </w:r>
    </w:p>
    <w:p w:rsidR="00ED0E67" w:rsidRDefault="00ED0E67" w:rsidP="00617304">
      <w:pPr>
        <w:spacing w:after="0" w:line="240" w:lineRule="auto"/>
        <w:jc w:val="both"/>
        <w:rPr>
          <w:rFonts w:eastAsia="Times New Roman" w:cs="Times New Roman"/>
          <w:szCs w:val="24"/>
        </w:rPr>
      </w:pPr>
    </w:p>
    <w:p w:rsidR="00ED0E67" w:rsidRDefault="00ED0E67" w:rsidP="00617304">
      <w:pPr>
        <w:spacing w:after="0" w:line="240" w:lineRule="auto"/>
        <w:jc w:val="both"/>
        <w:rPr>
          <w:rFonts w:eastAsia="Times New Roman" w:cs="Times New Roman"/>
          <w:szCs w:val="24"/>
        </w:rPr>
      </w:pPr>
      <w:r>
        <w:rPr>
          <w:rFonts w:eastAsia="Times New Roman" w:cs="Times New Roman"/>
          <w:szCs w:val="24"/>
        </w:rPr>
        <w:t>SECTION 5. Amends Section 1055.001(b), Estates Code, as follows:</w:t>
      </w:r>
    </w:p>
    <w:p w:rsidR="00ED0E67" w:rsidRDefault="00ED0E67" w:rsidP="00617304">
      <w:pPr>
        <w:spacing w:after="0" w:line="240" w:lineRule="auto"/>
        <w:jc w:val="both"/>
        <w:rPr>
          <w:rFonts w:eastAsia="Times New Roman" w:cs="Times New Roman"/>
          <w:szCs w:val="24"/>
        </w:rPr>
      </w:pPr>
    </w:p>
    <w:p w:rsidR="00ED0E67" w:rsidRDefault="00ED0E67" w:rsidP="00617304">
      <w:pPr>
        <w:spacing w:after="0" w:line="240" w:lineRule="auto"/>
        <w:ind w:left="720"/>
        <w:jc w:val="both"/>
        <w:rPr>
          <w:rFonts w:eastAsia="Times New Roman" w:cs="Times New Roman"/>
          <w:szCs w:val="24"/>
        </w:rPr>
      </w:pPr>
      <w:r>
        <w:rPr>
          <w:rFonts w:eastAsia="Times New Roman" w:cs="Times New Roman"/>
          <w:szCs w:val="24"/>
        </w:rPr>
        <w:t>(b) Prohibits a person who has an interest that is adverse to a proposed ward or incapacitated person from:</w:t>
      </w:r>
    </w:p>
    <w:p w:rsidR="00ED0E67" w:rsidRDefault="00ED0E67" w:rsidP="00617304">
      <w:pPr>
        <w:spacing w:after="0" w:line="240" w:lineRule="auto"/>
        <w:jc w:val="both"/>
        <w:rPr>
          <w:rFonts w:eastAsia="Times New Roman" w:cs="Times New Roman"/>
          <w:szCs w:val="24"/>
        </w:rPr>
      </w:pPr>
    </w:p>
    <w:p w:rsidR="00ED0E67" w:rsidRDefault="00ED0E67" w:rsidP="00617304">
      <w:pPr>
        <w:spacing w:after="0" w:line="240" w:lineRule="auto"/>
        <w:ind w:left="1440"/>
        <w:jc w:val="both"/>
        <w:rPr>
          <w:rFonts w:eastAsia="Times New Roman" w:cs="Times New Roman"/>
          <w:szCs w:val="24"/>
        </w:rPr>
      </w:pPr>
      <w:r>
        <w:rPr>
          <w:rFonts w:eastAsia="Times New Roman" w:cs="Times New Roman"/>
          <w:szCs w:val="24"/>
        </w:rPr>
        <w:t>(1) filing an application to create a guardianship or for the appointment of a guardian for the proposed ward or incapacitated person;</w:t>
      </w:r>
    </w:p>
    <w:p w:rsidR="00ED0E67" w:rsidRDefault="00ED0E67" w:rsidP="00617304">
      <w:pPr>
        <w:spacing w:after="0" w:line="240" w:lineRule="auto"/>
        <w:jc w:val="both"/>
        <w:rPr>
          <w:rFonts w:eastAsia="Times New Roman" w:cs="Times New Roman"/>
          <w:szCs w:val="24"/>
        </w:rPr>
      </w:pPr>
    </w:p>
    <w:p w:rsidR="00ED0E67" w:rsidRDefault="00ED0E67" w:rsidP="00617304">
      <w:pPr>
        <w:spacing w:after="0" w:line="240" w:lineRule="auto"/>
        <w:ind w:left="1440"/>
        <w:jc w:val="both"/>
        <w:rPr>
          <w:rFonts w:eastAsia="Times New Roman" w:cs="Times New Roman"/>
          <w:szCs w:val="24"/>
        </w:rPr>
      </w:pPr>
      <w:r>
        <w:rPr>
          <w:rFonts w:eastAsia="Times New Roman" w:cs="Times New Roman"/>
          <w:szCs w:val="24"/>
        </w:rPr>
        <w:t>(2) makes no changes to this subdivision;</w:t>
      </w:r>
    </w:p>
    <w:p w:rsidR="00ED0E67" w:rsidRDefault="00ED0E67" w:rsidP="00617304">
      <w:pPr>
        <w:spacing w:after="0" w:line="240" w:lineRule="auto"/>
        <w:jc w:val="both"/>
        <w:rPr>
          <w:rFonts w:eastAsia="Times New Roman" w:cs="Times New Roman"/>
          <w:szCs w:val="24"/>
        </w:rPr>
      </w:pPr>
    </w:p>
    <w:p w:rsidR="00ED0E67" w:rsidRDefault="00ED0E67" w:rsidP="00617304">
      <w:pPr>
        <w:spacing w:after="0" w:line="240" w:lineRule="auto"/>
        <w:ind w:left="1440"/>
        <w:jc w:val="both"/>
        <w:rPr>
          <w:rFonts w:eastAsia="Times New Roman" w:cs="Times New Roman"/>
          <w:szCs w:val="24"/>
        </w:rPr>
      </w:pPr>
      <w:r>
        <w:rPr>
          <w:rFonts w:eastAsia="Times New Roman" w:cs="Times New Roman"/>
          <w:szCs w:val="24"/>
        </w:rPr>
        <w:t>(3)-(4) makes nonsubstantive changes to these subdivisions; or</w:t>
      </w:r>
    </w:p>
    <w:p w:rsidR="00ED0E67" w:rsidRDefault="00ED0E67" w:rsidP="00617304">
      <w:pPr>
        <w:spacing w:after="0" w:line="240" w:lineRule="auto"/>
        <w:jc w:val="both"/>
        <w:rPr>
          <w:rFonts w:eastAsia="Times New Roman" w:cs="Times New Roman"/>
          <w:szCs w:val="24"/>
        </w:rPr>
      </w:pPr>
    </w:p>
    <w:p w:rsidR="00ED0E67" w:rsidRDefault="00ED0E67" w:rsidP="00617304">
      <w:pPr>
        <w:spacing w:after="0" w:line="240" w:lineRule="auto"/>
        <w:ind w:left="1440"/>
        <w:jc w:val="both"/>
        <w:rPr>
          <w:rFonts w:eastAsia="Times New Roman" w:cs="Times New Roman"/>
          <w:szCs w:val="24"/>
        </w:rPr>
      </w:pPr>
      <w:r>
        <w:rPr>
          <w:rFonts w:eastAsia="Times New Roman" w:cs="Times New Roman"/>
          <w:szCs w:val="24"/>
        </w:rPr>
        <w:t>(5) filing a motion or complaint to request the removal of a guardian or contest the request for removal of a guardian.</w:t>
      </w:r>
    </w:p>
    <w:p w:rsidR="00ED0E67" w:rsidRDefault="00ED0E67" w:rsidP="00617304">
      <w:pPr>
        <w:spacing w:after="0" w:line="240" w:lineRule="auto"/>
        <w:jc w:val="both"/>
        <w:rPr>
          <w:rFonts w:eastAsia="Times New Roman" w:cs="Times New Roman"/>
          <w:szCs w:val="24"/>
        </w:rPr>
      </w:pPr>
    </w:p>
    <w:p w:rsidR="00ED0E67" w:rsidRDefault="00ED0E67" w:rsidP="00ED0E67">
      <w:pPr>
        <w:spacing w:after="0" w:line="240" w:lineRule="auto"/>
        <w:jc w:val="both"/>
        <w:rPr>
          <w:rFonts w:eastAsia="Times New Roman" w:cs="Times New Roman"/>
          <w:szCs w:val="24"/>
        </w:rPr>
      </w:pPr>
      <w:r>
        <w:rPr>
          <w:rFonts w:eastAsia="Times New Roman" w:cs="Times New Roman"/>
          <w:szCs w:val="24"/>
        </w:rPr>
        <w:t>SECTION 6. Amends Section 1163.051, Estates Code, by adding Subsections (d) and (e), as follows:</w:t>
      </w:r>
    </w:p>
    <w:p w:rsidR="00ED0E67" w:rsidRDefault="00ED0E67" w:rsidP="00ED0E67">
      <w:pPr>
        <w:spacing w:after="0" w:line="240" w:lineRule="auto"/>
        <w:jc w:val="both"/>
        <w:rPr>
          <w:rFonts w:eastAsia="Times New Roman" w:cs="Times New Roman"/>
          <w:szCs w:val="24"/>
        </w:rPr>
      </w:pPr>
    </w:p>
    <w:p w:rsidR="00ED0E67" w:rsidRDefault="00ED0E67" w:rsidP="00ED0E67">
      <w:pPr>
        <w:spacing w:after="0" w:line="240" w:lineRule="auto"/>
        <w:ind w:left="720"/>
        <w:jc w:val="both"/>
        <w:rPr>
          <w:rFonts w:eastAsia="Times New Roman" w:cs="Times New Roman"/>
          <w:szCs w:val="24"/>
        </w:rPr>
      </w:pPr>
      <w:r>
        <w:rPr>
          <w:rFonts w:eastAsia="Times New Roman" w:cs="Times New Roman"/>
          <w:szCs w:val="24"/>
        </w:rPr>
        <w:t>(d) Requires the court, if the court approves the annual account, to enter an order to that effect.</w:t>
      </w:r>
    </w:p>
    <w:p w:rsidR="00ED0E67" w:rsidRDefault="00ED0E67" w:rsidP="00ED0E67">
      <w:pPr>
        <w:spacing w:after="0" w:line="240" w:lineRule="auto"/>
        <w:jc w:val="both"/>
        <w:rPr>
          <w:rFonts w:eastAsia="Times New Roman" w:cs="Times New Roman"/>
          <w:szCs w:val="24"/>
        </w:rPr>
      </w:pPr>
    </w:p>
    <w:p w:rsidR="00ED0E67" w:rsidRDefault="00ED0E67" w:rsidP="00ED0E67">
      <w:pPr>
        <w:spacing w:after="0" w:line="240" w:lineRule="auto"/>
        <w:ind w:left="720"/>
        <w:jc w:val="both"/>
        <w:rPr>
          <w:rFonts w:eastAsia="Times New Roman" w:cs="Times New Roman"/>
          <w:szCs w:val="24"/>
        </w:rPr>
      </w:pPr>
      <w:r>
        <w:rPr>
          <w:rFonts w:eastAsia="Times New Roman" w:cs="Times New Roman"/>
          <w:szCs w:val="24"/>
        </w:rPr>
        <w:t>(e) Requires the court, if the court does not approve the annual account, to enter an order to that effect and require the guardian of the estate to file another annual account within a period prescribed by the order, which is prohibited from being later than the 30th day after the date the order is entered.</w:t>
      </w:r>
    </w:p>
    <w:p w:rsidR="00ED0E67" w:rsidRDefault="00ED0E67" w:rsidP="00ED0E67">
      <w:pPr>
        <w:spacing w:after="0" w:line="240" w:lineRule="auto"/>
        <w:jc w:val="both"/>
        <w:rPr>
          <w:rFonts w:eastAsia="Times New Roman" w:cs="Times New Roman"/>
          <w:szCs w:val="24"/>
        </w:rPr>
      </w:pPr>
    </w:p>
    <w:p w:rsidR="00ED0E67" w:rsidRDefault="00ED0E67" w:rsidP="00ED0E67">
      <w:pPr>
        <w:spacing w:after="0" w:line="240" w:lineRule="auto"/>
        <w:jc w:val="both"/>
        <w:rPr>
          <w:rFonts w:eastAsia="Times New Roman" w:cs="Times New Roman"/>
          <w:szCs w:val="24"/>
        </w:rPr>
      </w:pPr>
      <w:r>
        <w:rPr>
          <w:rFonts w:eastAsia="Times New Roman" w:cs="Times New Roman"/>
          <w:szCs w:val="24"/>
        </w:rPr>
        <w:t>SECTION 7. Amends Section 1163.104, Estates Code, by amending Subsection (a) and adding Subsection (a-1), as follows:</w:t>
      </w:r>
    </w:p>
    <w:p w:rsidR="00ED0E67" w:rsidRDefault="00ED0E67" w:rsidP="00ED0E67">
      <w:pPr>
        <w:spacing w:after="0" w:line="240" w:lineRule="auto"/>
        <w:jc w:val="both"/>
        <w:rPr>
          <w:rFonts w:eastAsia="Times New Roman" w:cs="Times New Roman"/>
          <w:szCs w:val="24"/>
        </w:rPr>
      </w:pPr>
    </w:p>
    <w:p w:rsidR="00ED0E67" w:rsidRDefault="00ED0E67" w:rsidP="00ED0E67">
      <w:pPr>
        <w:spacing w:after="0" w:line="240" w:lineRule="auto"/>
        <w:ind w:left="720"/>
        <w:jc w:val="both"/>
        <w:rPr>
          <w:rFonts w:eastAsia="Times New Roman" w:cs="Times New Roman"/>
          <w:szCs w:val="24"/>
        </w:rPr>
      </w:pPr>
      <w:r>
        <w:rPr>
          <w:rFonts w:eastAsia="Times New Roman" w:cs="Times New Roman"/>
          <w:szCs w:val="24"/>
        </w:rPr>
        <w:t xml:space="preserve">(a) Requires the court, if the judge is satisfied that the facts stated in the annual report filed by a guardian of a person are true, to approve the report and enter an order to that effect. </w:t>
      </w:r>
    </w:p>
    <w:p w:rsidR="00ED0E67" w:rsidRDefault="00ED0E67" w:rsidP="00ED0E67">
      <w:pPr>
        <w:spacing w:after="0" w:line="240" w:lineRule="auto"/>
        <w:jc w:val="both"/>
        <w:rPr>
          <w:rFonts w:eastAsia="Times New Roman" w:cs="Times New Roman"/>
          <w:szCs w:val="24"/>
        </w:rPr>
      </w:pPr>
    </w:p>
    <w:p w:rsidR="00ED0E67" w:rsidRDefault="00ED0E67" w:rsidP="00ED0E67">
      <w:pPr>
        <w:spacing w:after="0" w:line="240" w:lineRule="auto"/>
        <w:ind w:left="720"/>
        <w:jc w:val="both"/>
        <w:rPr>
          <w:rFonts w:eastAsia="Times New Roman" w:cs="Times New Roman"/>
          <w:szCs w:val="24"/>
        </w:rPr>
      </w:pPr>
      <w:r>
        <w:rPr>
          <w:rFonts w:eastAsia="Times New Roman" w:cs="Times New Roman"/>
          <w:szCs w:val="24"/>
        </w:rPr>
        <w:t>(a-1) Requires the court, if the court does not approve the annual report, to enter an order to that effect and require the guardian of the person to file another annual report within a period prescribed by the order, which is prohibited from being later than the 30th day after the date the order is entered.</w:t>
      </w:r>
    </w:p>
    <w:p w:rsidR="00ED0E67" w:rsidRDefault="00ED0E67" w:rsidP="00ED0E67">
      <w:pPr>
        <w:spacing w:after="0" w:line="240" w:lineRule="auto"/>
        <w:jc w:val="both"/>
        <w:rPr>
          <w:rFonts w:eastAsia="Times New Roman" w:cs="Times New Roman"/>
          <w:szCs w:val="24"/>
        </w:rPr>
      </w:pPr>
    </w:p>
    <w:p w:rsidR="00ED0E67" w:rsidRPr="00EF7C34" w:rsidRDefault="00ED0E67" w:rsidP="00ED0E67">
      <w:pPr>
        <w:spacing w:line="240" w:lineRule="auto"/>
        <w:jc w:val="both"/>
        <w:rPr>
          <w:rFonts w:eastAsia="Times New Roman" w:cs="Times New Roman"/>
          <w:szCs w:val="24"/>
        </w:rPr>
      </w:pPr>
      <w:r>
        <w:rPr>
          <w:rFonts w:eastAsia="Times New Roman" w:cs="Times New Roman"/>
          <w:szCs w:val="24"/>
        </w:rPr>
        <w:t xml:space="preserve">SECTION 8. </w:t>
      </w:r>
      <w:r w:rsidRPr="00EF7C34">
        <w:rPr>
          <w:rFonts w:eastAsia="Times New Roman" w:cs="Times New Roman"/>
          <w:szCs w:val="24"/>
        </w:rPr>
        <w:t>Makes application of Sections 1054.051 (Appointment of Guardian Ad Litem in Guardianship Proceeding), 1054.054 (Duties), 1054.056 (Immunity), 1055.001 (Standing to Commence or Contest Proceeding), 1163.051 (Filing and Consideration of Annual Account), and 1163.104 (Approval of Report), Estates Code, as amended by this Act, prospective.</w:t>
      </w:r>
    </w:p>
    <w:p w:rsidR="00ED0E67" w:rsidRDefault="00ED0E67" w:rsidP="00ED0E67">
      <w:pPr>
        <w:spacing w:after="0" w:line="240" w:lineRule="auto"/>
        <w:jc w:val="both"/>
        <w:rPr>
          <w:rFonts w:eastAsia="Times New Roman" w:cs="Times New Roman"/>
          <w:szCs w:val="24"/>
        </w:rPr>
      </w:pPr>
    </w:p>
    <w:p w:rsidR="00ED0E67" w:rsidRPr="00C8671F" w:rsidRDefault="00ED0E67" w:rsidP="00ED0E67">
      <w:pPr>
        <w:spacing w:after="0" w:line="240" w:lineRule="auto"/>
        <w:jc w:val="both"/>
        <w:rPr>
          <w:rFonts w:eastAsia="Times New Roman" w:cs="Times New Roman"/>
          <w:szCs w:val="24"/>
        </w:rPr>
      </w:pPr>
      <w:r>
        <w:rPr>
          <w:rFonts w:eastAsia="Times New Roman" w:cs="Times New Roman"/>
          <w:szCs w:val="24"/>
        </w:rPr>
        <w:t>SECTION 9. Effective date: September 1, 2025.</w:t>
      </w:r>
    </w:p>
    <w:sectPr w:rsidR="00ED0E6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16054" w:rsidRDefault="00716054" w:rsidP="000F1DF9">
      <w:pPr>
        <w:spacing w:after="0" w:line="240" w:lineRule="auto"/>
      </w:pPr>
      <w:r>
        <w:separator/>
      </w:r>
    </w:p>
  </w:endnote>
  <w:endnote w:type="continuationSeparator" w:id="0">
    <w:p w:rsidR="00716054" w:rsidRDefault="0071605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1605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D0E67">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D0E67">
                <w:rPr>
                  <w:sz w:val="20"/>
                  <w:szCs w:val="20"/>
                </w:rPr>
                <w:t>C.S.S.B. 746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D0E6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1605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16054" w:rsidRDefault="00716054" w:rsidP="000F1DF9">
      <w:pPr>
        <w:spacing w:after="0" w:line="240" w:lineRule="auto"/>
      </w:pPr>
      <w:r>
        <w:separator/>
      </w:r>
    </w:p>
  </w:footnote>
  <w:footnote w:type="continuationSeparator" w:id="0">
    <w:p w:rsidR="00716054" w:rsidRDefault="0071605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76308"/>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16054"/>
    <w:rsid w:val="00774EC7"/>
    <w:rsid w:val="00833061"/>
    <w:rsid w:val="00896874"/>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D0E67"/>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57C46"/>
  <w15:docId w15:val="{2FAE98E9-312E-492B-9D82-3F16FCDB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D0E6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91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6CBE21FD0F7438497AACAD68F609DF6"/>
        <w:category>
          <w:name w:val="General"/>
          <w:gallery w:val="placeholder"/>
        </w:category>
        <w:types>
          <w:type w:val="bbPlcHdr"/>
        </w:types>
        <w:behaviors>
          <w:behavior w:val="content"/>
        </w:behaviors>
        <w:guid w:val="{0633D942-66FA-4A24-94A5-F442958EE1FC}"/>
      </w:docPartPr>
      <w:docPartBody>
        <w:p w:rsidR="00B369C0" w:rsidRDefault="00B369C0"/>
      </w:docPartBody>
    </w:docPart>
    <w:docPart>
      <w:docPartPr>
        <w:name w:val="297FAB25BB004712A21E26DC62C6DA29"/>
        <w:category>
          <w:name w:val="General"/>
          <w:gallery w:val="placeholder"/>
        </w:category>
        <w:types>
          <w:type w:val="bbPlcHdr"/>
        </w:types>
        <w:behaviors>
          <w:behavior w:val="content"/>
        </w:behaviors>
        <w:guid w:val="{30EAF26F-B201-4E91-8756-916A04EBCD98}"/>
      </w:docPartPr>
      <w:docPartBody>
        <w:p w:rsidR="00B369C0" w:rsidRDefault="00B369C0"/>
      </w:docPartBody>
    </w:docPart>
    <w:docPart>
      <w:docPartPr>
        <w:name w:val="975C46283C304DF9A395A932DB7E8592"/>
        <w:category>
          <w:name w:val="General"/>
          <w:gallery w:val="placeholder"/>
        </w:category>
        <w:types>
          <w:type w:val="bbPlcHdr"/>
        </w:types>
        <w:behaviors>
          <w:behavior w:val="content"/>
        </w:behaviors>
        <w:guid w:val="{402661F0-74C2-4BE0-8346-2A3EB3CB3684}"/>
      </w:docPartPr>
      <w:docPartBody>
        <w:p w:rsidR="00B369C0" w:rsidRDefault="00B369C0"/>
      </w:docPartBody>
    </w:docPart>
    <w:docPart>
      <w:docPartPr>
        <w:name w:val="402DACC38F024BFBA16F46417A464B72"/>
        <w:category>
          <w:name w:val="General"/>
          <w:gallery w:val="placeholder"/>
        </w:category>
        <w:types>
          <w:type w:val="bbPlcHdr"/>
        </w:types>
        <w:behaviors>
          <w:behavior w:val="content"/>
        </w:behaviors>
        <w:guid w:val="{CC2DE6E2-FD0D-4ED5-91C6-890D465A2743}"/>
      </w:docPartPr>
      <w:docPartBody>
        <w:p w:rsidR="00B369C0" w:rsidRDefault="00B369C0"/>
      </w:docPartBody>
    </w:docPart>
    <w:docPart>
      <w:docPartPr>
        <w:name w:val="620FC01EA31541B4ABECEF7452C997EB"/>
        <w:category>
          <w:name w:val="General"/>
          <w:gallery w:val="placeholder"/>
        </w:category>
        <w:types>
          <w:type w:val="bbPlcHdr"/>
        </w:types>
        <w:behaviors>
          <w:behavior w:val="content"/>
        </w:behaviors>
        <w:guid w:val="{492B7500-A400-45D4-B8F7-58A5DAAD2982}"/>
      </w:docPartPr>
      <w:docPartBody>
        <w:p w:rsidR="00B369C0" w:rsidRDefault="00B369C0"/>
      </w:docPartBody>
    </w:docPart>
    <w:docPart>
      <w:docPartPr>
        <w:name w:val="1B33E2D6B81F4521AA1D5A28607523BC"/>
        <w:category>
          <w:name w:val="General"/>
          <w:gallery w:val="placeholder"/>
        </w:category>
        <w:types>
          <w:type w:val="bbPlcHdr"/>
        </w:types>
        <w:behaviors>
          <w:behavior w:val="content"/>
        </w:behaviors>
        <w:guid w:val="{E8415D69-B090-40B0-8650-A36BD6B78E96}"/>
      </w:docPartPr>
      <w:docPartBody>
        <w:p w:rsidR="00B369C0" w:rsidRDefault="00B369C0"/>
      </w:docPartBody>
    </w:docPart>
    <w:docPart>
      <w:docPartPr>
        <w:name w:val="75213697C2E74F1490D6C642D5CB2E37"/>
        <w:category>
          <w:name w:val="General"/>
          <w:gallery w:val="placeholder"/>
        </w:category>
        <w:types>
          <w:type w:val="bbPlcHdr"/>
        </w:types>
        <w:behaviors>
          <w:behavior w:val="content"/>
        </w:behaviors>
        <w:guid w:val="{36AAC76A-4C4C-44B3-B5CE-8CDDEE22793A}"/>
      </w:docPartPr>
      <w:docPartBody>
        <w:p w:rsidR="00B369C0" w:rsidRDefault="00B369C0"/>
      </w:docPartBody>
    </w:docPart>
    <w:docPart>
      <w:docPartPr>
        <w:name w:val="13767B98446A4790917BD7517DCA9405"/>
        <w:category>
          <w:name w:val="General"/>
          <w:gallery w:val="placeholder"/>
        </w:category>
        <w:types>
          <w:type w:val="bbPlcHdr"/>
        </w:types>
        <w:behaviors>
          <w:behavior w:val="content"/>
        </w:behaviors>
        <w:guid w:val="{552DB1DE-C3D6-4E12-B6A4-633427B7C9CA}"/>
      </w:docPartPr>
      <w:docPartBody>
        <w:p w:rsidR="00B369C0" w:rsidRDefault="00B369C0"/>
      </w:docPartBody>
    </w:docPart>
    <w:docPart>
      <w:docPartPr>
        <w:name w:val="AF73C01B36D34943BA123BDD7BDB3940"/>
        <w:category>
          <w:name w:val="General"/>
          <w:gallery w:val="placeholder"/>
        </w:category>
        <w:types>
          <w:type w:val="bbPlcHdr"/>
        </w:types>
        <w:behaviors>
          <w:behavior w:val="content"/>
        </w:behaviors>
        <w:guid w:val="{8434993C-1013-4E66-9643-91B41567C4E2}"/>
      </w:docPartPr>
      <w:docPartBody>
        <w:p w:rsidR="00B369C0" w:rsidRDefault="00B369C0"/>
      </w:docPartBody>
    </w:docPart>
    <w:docPart>
      <w:docPartPr>
        <w:name w:val="383ED14B0CEB4FE88A02555C782450C6"/>
        <w:category>
          <w:name w:val="General"/>
          <w:gallery w:val="placeholder"/>
        </w:category>
        <w:types>
          <w:type w:val="bbPlcHdr"/>
        </w:types>
        <w:behaviors>
          <w:behavior w:val="content"/>
        </w:behaviors>
        <w:guid w:val="{0D2FE647-D1A3-4873-B9D1-F071EA55188F}"/>
      </w:docPartPr>
      <w:docPartBody>
        <w:p w:rsidR="00B369C0" w:rsidRDefault="008942F5" w:rsidP="008942F5">
          <w:pPr>
            <w:pStyle w:val="383ED14B0CEB4FE88A02555C782450C6"/>
          </w:pPr>
          <w:r w:rsidRPr="00A30DD1">
            <w:rPr>
              <w:rStyle w:val="PlaceholderText"/>
            </w:rPr>
            <w:t>Click here to enter a date.</w:t>
          </w:r>
        </w:p>
      </w:docPartBody>
    </w:docPart>
    <w:docPart>
      <w:docPartPr>
        <w:name w:val="91183C2847C5430C820CD0403F5F5409"/>
        <w:category>
          <w:name w:val="General"/>
          <w:gallery w:val="placeholder"/>
        </w:category>
        <w:types>
          <w:type w:val="bbPlcHdr"/>
        </w:types>
        <w:behaviors>
          <w:behavior w:val="content"/>
        </w:behaviors>
        <w:guid w:val="{38F0027F-2830-448E-85CB-A7912308458B}"/>
      </w:docPartPr>
      <w:docPartBody>
        <w:p w:rsidR="00B369C0" w:rsidRDefault="00B369C0"/>
      </w:docPartBody>
    </w:docPart>
    <w:docPart>
      <w:docPartPr>
        <w:name w:val="60247D5577BA400F974B0BB2F496A42A"/>
        <w:category>
          <w:name w:val="General"/>
          <w:gallery w:val="placeholder"/>
        </w:category>
        <w:types>
          <w:type w:val="bbPlcHdr"/>
        </w:types>
        <w:behaviors>
          <w:behavior w:val="content"/>
        </w:behaviors>
        <w:guid w:val="{2FE2312E-5BC2-4654-8E2C-017E417F5DD8}"/>
      </w:docPartPr>
      <w:docPartBody>
        <w:p w:rsidR="00B369C0" w:rsidRDefault="00B369C0"/>
      </w:docPartBody>
    </w:docPart>
    <w:docPart>
      <w:docPartPr>
        <w:name w:val="996F2E8639A642BF9306FD290F6908AE"/>
        <w:category>
          <w:name w:val="General"/>
          <w:gallery w:val="placeholder"/>
        </w:category>
        <w:types>
          <w:type w:val="bbPlcHdr"/>
        </w:types>
        <w:behaviors>
          <w:behavior w:val="content"/>
        </w:behaviors>
        <w:guid w:val="{D5C21191-2708-4060-A9FD-5A27870B9625}"/>
      </w:docPartPr>
      <w:docPartBody>
        <w:p w:rsidR="00B369C0" w:rsidRDefault="008942F5" w:rsidP="008942F5">
          <w:pPr>
            <w:pStyle w:val="996F2E8639A642BF9306FD290F6908AE"/>
          </w:pPr>
          <w:r>
            <w:rPr>
              <w:rFonts w:eastAsia="Times New Roman" w:cs="Times New Roman"/>
              <w:bCs/>
            </w:rPr>
            <w:t xml:space="preserve"> </w:t>
          </w:r>
        </w:p>
      </w:docPartBody>
    </w:docPart>
    <w:docPart>
      <w:docPartPr>
        <w:name w:val="79CE2C7F8F07480891606A8B45AF5B9B"/>
        <w:category>
          <w:name w:val="General"/>
          <w:gallery w:val="placeholder"/>
        </w:category>
        <w:types>
          <w:type w:val="bbPlcHdr"/>
        </w:types>
        <w:behaviors>
          <w:behavior w:val="content"/>
        </w:behaviors>
        <w:guid w:val="{D84D739A-0CDC-431F-B715-5C695161AA47}"/>
      </w:docPartPr>
      <w:docPartBody>
        <w:p w:rsidR="00B369C0" w:rsidRDefault="00B369C0"/>
      </w:docPartBody>
    </w:docPart>
    <w:docPart>
      <w:docPartPr>
        <w:name w:val="5AE2206FFB624E809F5F4D310B985153"/>
        <w:category>
          <w:name w:val="General"/>
          <w:gallery w:val="placeholder"/>
        </w:category>
        <w:types>
          <w:type w:val="bbPlcHdr"/>
        </w:types>
        <w:behaviors>
          <w:behavior w:val="content"/>
        </w:behaviors>
        <w:guid w:val="{64E1193A-959D-462E-A869-4D07165F336F}"/>
      </w:docPartPr>
      <w:docPartBody>
        <w:p w:rsidR="00B369C0" w:rsidRDefault="00B369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76308"/>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942F5"/>
    <w:rsid w:val="008C55F7"/>
    <w:rsid w:val="0090598B"/>
    <w:rsid w:val="00984D6C"/>
    <w:rsid w:val="00A54AD6"/>
    <w:rsid w:val="00A57564"/>
    <w:rsid w:val="00B252A4"/>
    <w:rsid w:val="00B369C0"/>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42F5"/>
    <w:rPr>
      <w:color w:val="808080"/>
    </w:rPr>
  </w:style>
  <w:style w:type="paragraph" w:customStyle="1" w:styleId="383ED14B0CEB4FE88A02555C782450C6">
    <w:name w:val="383ED14B0CEB4FE88A02555C782450C6"/>
    <w:rsid w:val="008942F5"/>
    <w:pPr>
      <w:spacing w:after="160" w:line="278" w:lineRule="auto"/>
    </w:pPr>
    <w:rPr>
      <w:kern w:val="2"/>
      <w:sz w:val="24"/>
      <w:szCs w:val="24"/>
      <w14:ligatures w14:val="standardContextual"/>
    </w:rPr>
  </w:style>
  <w:style w:type="paragraph" w:customStyle="1" w:styleId="996F2E8639A642BF9306FD290F6908AE">
    <w:name w:val="996F2E8639A642BF9306FD290F6908AE"/>
    <w:rsid w:val="008942F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664</Words>
  <Characters>3791</Characters>
  <Application>Microsoft Office Word</Application>
  <DocSecurity>0</DocSecurity>
  <Lines>31</Lines>
  <Paragraphs>8</Paragraphs>
  <ScaleCrop>false</ScaleCrop>
  <Company>Texas Legislative Council</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cp:lastPrinted>2025-03-19T15:21:00Z</cp:lastPrinted>
  <dcterms:created xsi:type="dcterms:W3CDTF">2015-05-29T14:24:00Z</dcterms:created>
  <dcterms:modified xsi:type="dcterms:W3CDTF">2025-03-19T15:23:00Z</dcterms:modified>
</cp:coreProperties>
</file>

<file path=docProps/custom.xml><?xml version="1.0" encoding="utf-8"?>
<op:Properties xmlns:vt="http://schemas.openxmlformats.org/officeDocument/2006/docPropsVTypes" xmlns:op="http://schemas.openxmlformats.org/officeDocument/2006/custom-properties"/>
</file>