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2337" w:rsidRDefault="00A0233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CBF117703054AFF80ECF5C07B92A966"/>
          </w:placeholder>
        </w:sdtPr>
        <w:sdtContent>
          <w:r w:rsidRPr="005C2A78">
            <w:rPr>
              <w:rFonts w:cs="Times New Roman"/>
              <w:b/>
              <w:szCs w:val="24"/>
              <w:u w:val="single"/>
            </w:rPr>
            <w:t>BILL ANALYSIS</w:t>
          </w:r>
        </w:sdtContent>
      </w:sdt>
    </w:p>
    <w:p w:rsidR="00A02337" w:rsidRPr="00585C31" w:rsidRDefault="00A02337" w:rsidP="000F1DF9">
      <w:pPr>
        <w:spacing w:after="0" w:line="240" w:lineRule="auto"/>
        <w:rPr>
          <w:rFonts w:cs="Times New Roman"/>
          <w:szCs w:val="24"/>
        </w:rPr>
      </w:pPr>
    </w:p>
    <w:p w:rsidR="00A02337" w:rsidRPr="00585C31" w:rsidRDefault="00A0233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02337" w:rsidTr="000F1DF9">
        <w:tc>
          <w:tcPr>
            <w:tcW w:w="2718" w:type="dxa"/>
          </w:tcPr>
          <w:p w:rsidR="00A02337" w:rsidRPr="005C2A78" w:rsidRDefault="00A02337" w:rsidP="006D756B">
            <w:pPr>
              <w:rPr>
                <w:rFonts w:cs="Times New Roman"/>
                <w:szCs w:val="24"/>
              </w:rPr>
            </w:pPr>
            <w:sdt>
              <w:sdtPr>
                <w:rPr>
                  <w:rFonts w:cs="Times New Roman"/>
                  <w:szCs w:val="24"/>
                </w:rPr>
                <w:alias w:val="Agency Title"/>
                <w:tag w:val="AgencyTitleContentControl"/>
                <w:id w:val="1920747753"/>
                <w:lock w:val="sdtContentLocked"/>
                <w:placeholder>
                  <w:docPart w:val="342C8FBE65A54D83986A408688EA25F7"/>
                </w:placeholder>
              </w:sdtPr>
              <w:sdtEndPr>
                <w:rPr>
                  <w:rFonts w:cstheme="minorBidi"/>
                  <w:szCs w:val="22"/>
                </w:rPr>
              </w:sdtEndPr>
              <w:sdtContent>
                <w:r>
                  <w:rPr>
                    <w:rFonts w:cs="Times New Roman"/>
                    <w:szCs w:val="24"/>
                  </w:rPr>
                  <w:t>Senate Research Center</w:t>
                </w:r>
              </w:sdtContent>
            </w:sdt>
          </w:p>
        </w:tc>
        <w:tc>
          <w:tcPr>
            <w:tcW w:w="6858" w:type="dxa"/>
          </w:tcPr>
          <w:p w:rsidR="00A02337" w:rsidRPr="00FF6471" w:rsidRDefault="00A02337" w:rsidP="000F1DF9">
            <w:pPr>
              <w:jc w:val="right"/>
              <w:rPr>
                <w:rFonts w:cs="Times New Roman"/>
                <w:szCs w:val="24"/>
              </w:rPr>
            </w:pPr>
            <w:sdt>
              <w:sdtPr>
                <w:rPr>
                  <w:rFonts w:cs="Times New Roman"/>
                  <w:szCs w:val="24"/>
                </w:rPr>
                <w:alias w:val="Bill Number"/>
                <w:tag w:val="BillNumberOne"/>
                <w:id w:val="-410784069"/>
                <w:lock w:val="sdtContentLocked"/>
                <w:placeholder>
                  <w:docPart w:val="286C5E6ED22F47BFBCBD7B8EEAAFAB57"/>
                </w:placeholder>
              </w:sdtPr>
              <w:sdtContent>
                <w:r>
                  <w:rPr>
                    <w:rFonts w:cs="Times New Roman"/>
                    <w:szCs w:val="24"/>
                  </w:rPr>
                  <w:t>S.B. 779</w:t>
                </w:r>
              </w:sdtContent>
            </w:sdt>
          </w:p>
        </w:tc>
      </w:tr>
      <w:tr w:rsidR="00A02337" w:rsidTr="000F1DF9">
        <w:tc>
          <w:tcPr>
            <w:tcW w:w="2718" w:type="dxa"/>
          </w:tcPr>
          <w:p w:rsidR="00A02337" w:rsidRPr="000F1DF9" w:rsidRDefault="00A02337" w:rsidP="00C65088">
            <w:pPr>
              <w:rPr>
                <w:rFonts w:cs="Times New Roman"/>
                <w:szCs w:val="24"/>
              </w:rPr>
            </w:pPr>
            <w:sdt>
              <w:sdtPr>
                <w:rPr>
                  <w:rFonts w:cs="Times New Roman"/>
                  <w:szCs w:val="24"/>
                </w:rPr>
                <w:alias w:val="TLCNumber"/>
                <w:tag w:val="TLCNumber"/>
                <w:id w:val="-542600604"/>
                <w:lock w:val="sdtLocked"/>
                <w:placeholder>
                  <w:docPart w:val="E44BC5BBC67F4E6DB7E80B513D24A77E"/>
                </w:placeholder>
                <w:showingPlcHdr/>
              </w:sdtPr>
              <w:sdtContent/>
            </w:sdt>
            <w:r w:rsidRPr="00016899">
              <w:rPr>
                <w:rFonts w:cs="Times New Roman"/>
                <w:szCs w:val="24"/>
              </w:rPr>
              <w:t>89R867 SCL-F</w:t>
            </w:r>
          </w:p>
        </w:tc>
        <w:tc>
          <w:tcPr>
            <w:tcW w:w="6858" w:type="dxa"/>
          </w:tcPr>
          <w:p w:rsidR="00A02337" w:rsidRPr="005C2A78" w:rsidRDefault="00A02337" w:rsidP="00073EDD">
            <w:pPr>
              <w:jc w:val="right"/>
              <w:rPr>
                <w:rFonts w:cs="Times New Roman"/>
                <w:szCs w:val="24"/>
              </w:rPr>
            </w:pPr>
            <w:sdt>
              <w:sdtPr>
                <w:rPr>
                  <w:rFonts w:cs="Times New Roman"/>
                  <w:szCs w:val="24"/>
                </w:rPr>
                <w:alias w:val="Author Label"/>
                <w:tag w:val="By"/>
                <w:id w:val="72399597"/>
                <w:lock w:val="sdtLocked"/>
                <w:placeholder>
                  <w:docPart w:val="78AD23ADF5D44C908486E9E2ADB3194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51E03260D304B3AA845446CA64C4BEF"/>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6BE8347575624FDD9C1F4997732035C9"/>
                </w:placeholder>
                <w:showingPlcHdr/>
              </w:sdtPr>
              <w:sdtContent/>
            </w:sdt>
            <w:sdt>
              <w:sdtPr>
                <w:rPr>
                  <w:rFonts w:cs="Times New Roman"/>
                  <w:szCs w:val="24"/>
                </w:rPr>
                <w:alias w:val="DualSponsor"/>
                <w:tag w:val="DualSponsor"/>
                <w:id w:val="1029379812"/>
                <w:lock w:val="sdtContentLocked"/>
                <w:placeholder>
                  <w:docPart w:val="0C43A107807840C688889D7367C1F136"/>
                </w:placeholder>
                <w:showingPlcHdr/>
              </w:sdtPr>
              <w:sdtContent/>
            </w:sdt>
          </w:p>
        </w:tc>
      </w:tr>
      <w:tr w:rsidR="00A02337" w:rsidTr="000F1DF9">
        <w:tc>
          <w:tcPr>
            <w:tcW w:w="2718" w:type="dxa"/>
          </w:tcPr>
          <w:p w:rsidR="00A02337" w:rsidRPr="00BC7495" w:rsidRDefault="00A02337" w:rsidP="000F1DF9">
            <w:pPr>
              <w:rPr>
                <w:rFonts w:cs="Times New Roman"/>
                <w:szCs w:val="24"/>
              </w:rPr>
            </w:pPr>
          </w:p>
        </w:tc>
        <w:sdt>
          <w:sdtPr>
            <w:rPr>
              <w:rFonts w:cs="Times New Roman"/>
              <w:szCs w:val="24"/>
            </w:rPr>
            <w:alias w:val="Committee"/>
            <w:tag w:val="Committee"/>
            <w:id w:val="1914272295"/>
            <w:lock w:val="sdtContentLocked"/>
            <w:placeholder>
              <w:docPart w:val="22B3D595B22B4DC0BE8B17040EFB58F7"/>
            </w:placeholder>
          </w:sdtPr>
          <w:sdtContent>
            <w:tc>
              <w:tcPr>
                <w:tcW w:w="6858" w:type="dxa"/>
              </w:tcPr>
              <w:p w:rsidR="00A02337" w:rsidRPr="00FF6471" w:rsidRDefault="00A02337" w:rsidP="000F1DF9">
                <w:pPr>
                  <w:jc w:val="right"/>
                  <w:rPr>
                    <w:rFonts w:cs="Times New Roman"/>
                    <w:szCs w:val="24"/>
                  </w:rPr>
                </w:pPr>
                <w:r>
                  <w:rPr>
                    <w:rFonts w:cs="Times New Roman"/>
                    <w:szCs w:val="24"/>
                  </w:rPr>
                  <w:t>State Affairs</w:t>
                </w:r>
              </w:p>
            </w:tc>
          </w:sdtContent>
        </w:sdt>
      </w:tr>
      <w:tr w:rsidR="00A02337" w:rsidTr="000F1DF9">
        <w:tc>
          <w:tcPr>
            <w:tcW w:w="2718" w:type="dxa"/>
          </w:tcPr>
          <w:p w:rsidR="00A02337" w:rsidRPr="00BC7495" w:rsidRDefault="00A02337" w:rsidP="000F1DF9">
            <w:pPr>
              <w:rPr>
                <w:rFonts w:cs="Times New Roman"/>
                <w:szCs w:val="24"/>
              </w:rPr>
            </w:pPr>
          </w:p>
        </w:tc>
        <w:sdt>
          <w:sdtPr>
            <w:rPr>
              <w:rFonts w:cs="Times New Roman"/>
              <w:szCs w:val="24"/>
            </w:rPr>
            <w:alias w:val="Date"/>
            <w:tag w:val="DateContentControl"/>
            <w:id w:val="1178081906"/>
            <w:lock w:val="sdtLocked"/>
            <w:placeholder>
              <w:docPart w:val="9CDE51DE885648988B2EB68D0E534F2D"/>
            </w:placeholder>
            <w:date w:fullDate="2025-03-14T00:00:00Z">
              <w:dateFormat w:val="M/d/yyyy"/>
              <w:lid w:val="en-US"/>
              <w:storeMappedDataAs w:val="dateTime"/>
              <w:calendar w:val="gregorian"/>
            </w:date>
          </w:sdtPr>
          <w:sdtContent>
            <w:tc>
              <w:tcPr>
                <w:tcW w:w="6858" w:type="dxa"/>
              </w:tcPr>
              <w:p w:rsidR="00A02337" w:rsidRPr="00FF6471" w:rsidRDefault="00A02337" w:rsidP="000F1DF9">
                <w:pPr>
                  <w:jc w:val="right"/>
                  <w:rPr>
                    <w:rFonts w:cs="Times New Roman"/>
                    <w:szCs w:val="24"/>
                  </w:rPr>
                </w:pPr>
                <w:r>
                  <w:rPr>
                    <w:rFonts w:cs="Times New Roman"/>
                    <w:szCs w:val="24"/>
                  </w:rPr>
                  <w:t>3/14/2025</w:t>
                </w:r>
              </w:p>
            </w:tc>
          </w:sdtContent>
        </w:sdt>
      </w:tr>
      <w:tr w:rsidR="00A02337" w:rsidTr="000F1DF9">
        <w:tc>
          <w:tcPr>
            <w:tcW w:w="2718" w:type="dxa"/>
          </w:tcPr>
          <w:p w:rsidR="00A02337" w:rsidRPr="00BC7495" w:rsidRDefault="00A02337" w:rsidP="000F1DF9">
            <w:pPr>
              <w:rPr>
                <w:rFonts w:cs="Times New Roman"/>
                <w:szCs w:val="24"/>
              </w:rPr>
            </w:pPr>
          </w:p>
        </w:tc>
        <w:sdt>
          <w:sdtPr>
            <w:rPr>
              <w:rFonts w:cs="Times New Roman"/>
              <w:szCs w:val="24"/>
            </w:rPr>
            <w:alias w:val="BA Version"/>
            <w:tag w:val="BAVersion"/>
            <w:id w:val="-1685590809"/>
            <w:lock w:val="sdtContentLocked"/>
            <w:placeholder>
              <w:docPart w:val="F48BC363852748EBA3E0B7AF97D377D6"/>
            </w:placeholder>
          </w:sdtPr>
          <w:sdtContent>
            <w:tc>
              <w:tcPr>
                <w:tcW w:w="6858" w:type="dxa"/>
              </w:tcPr>
              <w:p w:rsidR="00A02337" w:rsidRPr="00FF6471" w:rsidRDefault="00A02337" w:rsidP="000F1DF9">
                <w:pPr>
                  <w:jc w:val="right"/>
                  <w:rPr>
                    <w:rFonts w:cs="Times New Roman"/>
                    <w:szCs w:val="24"/>
                  </w:rPr>
                </w:pPr>
                <w:r>
                  <w:rPr>
                    <w:rFonts w:cs="Times New Roman"/>
                    <w:szCs w:val="24"/>
                  </w:rPr>
                  <w:t>As Filed</w:t>
                </w:r>
              </w:p>
            </w:tc>
          </w:sdtContent>
        </w:sdt>
      </w:tr>
    </w:tbl>
    <w:p w:rsidR="00A02337" w:rsidRPr="00FF6471" w:rsidRDefault="00A02337" w:rsidP="000F1DF9">
      <w:pPr>
        <w:spacing w:after="0" w:line="240" w:lineRule="auto"/>
        <w:rPr>
          <w:rFonts w:cs="Times New Roman"/>
          <w:szCs w:val="24"/>
        </w:rPr>
      </w:pPr>
    </w:p>
    <w:p w:rsidR="00A02337" w:rsidRPr="00FF6471" w:rsidRDefault="00A02337" w:rsidP="000F1DF9">
      <w:pPr>
        <w:spacing w:after="0" w:line="240" w:lineRule="auto"/>
        <w:rPr>
          <w:rFonts w:cs="Times New Roman"/>
          <w:szCs w:val="24"/>
        </w:rPr>
      </w:pPr>
    </w:p>
    <w:p w:rsidR="00A02337" w:rsidRPr="00FF6471" w:rsidRDefault="00A0233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DC0FA1E0737475B890CC2BA4D13166C"/>
        </w:placeholder>
      </w:sdtPr>
      <w:sdtContent>
        <w:p w:rsidR="00A02337" w:rsidRDefault="00A0233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1D0A3E3ED944F84BCFD5850E98B5C44"/>
        </w:placeholder>
      </w:sdtPr>
      <w:sdtEndPr>
        <w:rPr>
          <w:rFonts w:cs="Times New Roman"/>
          <w:szCs w:val="24"/>
        </w:rPr>
      </w:sdtEndPr>
      <w:sdtContent>
        <w:p w:rsidR="00A02337" w:rsidRDefault="00A02337" w:rsidP="00A02337">
          <w:pPr>
            <w:pStyle w:val="NormalWeb"/>
            <w:spacing w:before="0" w:beforeAutospacing="0" w:after="0" w:afterAutospacing="0"/>
            <w:jc w:val="both"/>
            <w:divId w:val="2128544087"/>
            <w:rPr>
              <w:rFonts w:eastAsia="Times New Roman"/>
              <w:bCs/>
            </w:rPr>
          </w:pPr>
        </w:p>
        <w:p w:rsidR="00A02337" w:rsidRPr="00317882" w:rsidRDefault="00A02337" w:rsidP="00A02337">
          <w:pPr>
            <w:pStyle w:val="NormalWeb"/>
            <w:spacing w:before="0" w:beforeAutospacing="0" w:after="0" w:afterAutospacing="0"/>
            <w:jc w:val="both"/>
            <w:divId w:val="2128544087"/>
          </w:pPr>
          <w:r w:rsidRPr="00317882">
            <w:t>Public nuisance law has evolved from addressing traditional concerns, such as blocking roads or noise violations, to being used against businesses for broader alleged societal harms such as the opioid crisis and climate change. Courts are making policy decisions through each lawsuits instead of elected officials passing laws, or leaving otherwise legal activities to be regulated by their authorized agencies.</w:t>
          </w:r>
        </w:p>
        <w:p w:rsidR="00A02337" w:rsidRPr="00317882" w:rsidRDefault="00A02337" w:rsidP="00A02337">
          <w:pPr>
            <w:pStyle w:val="NormalWeb"/>
            <w:spacing w:before="0" w:beforeAutospacing="0" w:after="0" w:afterAutospacing="0"/>
            <w:jc w:val="both"/>
            <w:divId w:val="2128544087"/>
          </w:pPr>
          <w:r w:rsidRPr="00317882">
            <w:t> </w:t>
          </w:r>
        </w:p>
        <w:p w:rsidR="00A02337" w:rsidRPr="00317882" w:rsidRDefault="00A02337" w:rsidP="00A02337">
          <w:pPr>
            <w:pStyle w:val="NormalWeb"/>
            <w:spacing w:before="0" w:beforeAutospacing="0" w:after="0" w:afterAutospacing="0"/>
            <w:jc w:val="both"/>
            <w:divId w:val="2128544087"/>
          </w:pPr>
          <w:r>
            <w:t>S.B.</w:t>
          </w:r>
          <w:r w:rsidRPr="00317882">
            <w:t xml:space="preserve"> 779 aims to limit the use of public nuisance claims. The primary problem is that in many cases public nuisance is used to penalize legal behavior or business conduct that is already regulated. If passed, actions authorized, licensed, approved, or mandated by statute, ordinance, regulation, permit, order, rule, or similar measure issued by government entities or a political subdivision will no longer continue to face public nuisance threats. Public nuisance claims will not amount to any private nuisance claims or injuries to individuals.</w:t>
          </w:r>
        </w:p>
        <w:p w:rsidR="00A02337" w:rsidRPr="00A02337" w:rsidRDefault="00A02337" w:rsidP="00A02337">
          <w:pPr>
            <w:pStyle w:val="NormalWeb"/>
            <w:spacing w:before="0" w:beforeAutospacing="0" w:after="0" w:afterAutospacing="0"/>
            <w:jc w:val="both"/>
            <w:divId w:val="2128544087"/>
          </w:pPr>
          <w:r w:rsidRPr="00317882">
            <w:t> </w:t>
          </w:r>
        </w:p>
      </w:sdtContent>
    </w:sdt>
    <w:p w:rsidR="00A02337" w:rsidRDefault="00A02337" w:rsidP="00A02337">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779 </w:t>
      </w:r>
      <w:bookmarkStart w:id="1" w:name="AmendsCurrentLaw"/>
      <w:bookmarkEnd w:id="1"/>
      <w:r>
        <w:rPr>
          <w:rFonts w:cs="Times New Roman"/>
          <w:szCs w:val="24"/>
        </w:rPr>
        <w:t>amends current law relating to common law public nuisance claims.</w:t>
      </w:r>
    </w:p>
    <w:p w:rsidR="00A02337" w:rsidRPr="00016899" w:rsidRDefault="00A02337" w:rsidP="00A02337">
      <w:pPr>
        <w:spacing w:after="0" w:line="240" w:lineRule="auto"/>
        <w:jc w:val="both"/>
        <w:rPr>
          <w:rFonts w:eastAsia="Times New Roman" w:cs="Times New Roman"/>
          <w:szCs w:val="24"/>
        </w:rPr>
      </w:pPr>
    </w:p>
    <w:p w:rsidR="00A02337" w:rsidRPr="005C2A78" w:rsidRDefault="00A02337" w:rsidP="00A0233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CC35D4071784A3CB4B7CD0753519E8B"/>
          </w:placeholder>
        </w:sdtPr>
        <w:sdtContent>
          <w:r>
            <w:rPr>
              <w:rFonts w:eastAsia="Times New Roman" w:cs="Times New Roman"/>
              <w:b/>
              <w:szCs w:val="24"/>
              <w:u w:val="single"/>
            </w:rPr>
            <w:t>RULEMAKING AUTHORITY</w:t>
          </w:r>
        </w:sdtContent>
      </w:sdt>
    </w:p>
    <w:p w:rsidR="00A02337" w:rsidRPr="006529C4" w:rsidRDefault="00A02337" w:rsidP="008C00FB">
      <w:pPr>
        <w:spacing w:after="0" w:line="240" w:lineRule="auto"/>
        <w:jc w:val="both"/>
        <w:rPr>
          <w:rFonts w:cs="Times New Roman"/>
          <w:szCs w:val="24"/>
        </w:rPr>
      </w:pPr>
    </w:p>
    <w:p w:rsidR="00A02337" w:rsidRPr="006529C4" w:rsidRDefault="00A02337" w:rsidP="008C00F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02337" w:rsidRPr="006529C4" w:rsidRDefault="00A02337" w:rsidP="008C00FB">
      <w:pPr>
        <w:spacing w:after="0" w:line="240" w:lineRule="auto"/>
        <w:jc w:val="both"/>
        <w:rPr>
          <w:rFonts w:cs="Times New Roman"/>
          <w:szCs w:val="24"/>
        </w:rPr>
      </w:pPr>
    </w:p>
    <w:p w:rsidR="00A02337" w:rsidRPr="005C2A78" w:rsidRDefault="00A02337" w:rsidP="008C00F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DC3F8553C764B77996233EA838E5C38"/>
          </w:placeholder>
        </w:sdtPr>
        <w:sdtContent>
          <w:r>
            <w:rPr>
              <w:rFonts w:eastAsia="Times New Roman" w:cs="Times New Roman"/>
              <w:b/>
              <w:szCs w:val="24"/>
              <w:u w:val="single"/>
            </w:rPr>
            <w:t>SECTION BY SECTION ANALYSIS</w:t>
          </w:r>
        </w:sdtContent>
      </w:sdt>
    </w:p>
    <w:p w:rsidR="00A02337" w:rsidRPr="005C2A78" w:rsidRDefault="00A02337" w:rsidP="008C00FB">
      <w:pPr>
        <w:spacing w:after="0" w:line="240" w:lineRule="auto"/>
        <w:jc w:val="both"/>
        <w:rPr>
          <w:rFonts w:eastAsia="Times New Roman" w:cs="Times New Roman"/>
          <w:szCs w:val="24"/>
        </w:rPr>
      </w:pPr>
    </w:p>
    <w:p w:rsidR="00A02337" w:rsidRDefault="00A02337" w:rsidP="008C00F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Title 4, Civil Practice and Remedies Code, by adding Chapter 100C, as follows:</w:t>
      </w:r>
    </w:p>
    <w:p w:rsidR="00A02337" w:rsidRDefault="00A02337" w:rsidP="008C00FB">
      <w:pPr>
        <w:spacing w:after="0" w:line="240" w:lineRule="auto"/>
        <w:jc w:val="both"/>
        <w:rPr>
          <w:rFonts w:eastAsia="Times New Roman" w:cs="Times New Roman"/>
          <w:szCs w:val="24"/>
        </w:rPr>
      </w:pPr>
    </w:p>
    <w:p w:rsidR="00A02337" w:rsidRDefault="00A02337" w:rsidP="008C00FB">
      <w:pPr>
        <w:spacing w:after="0" w:line="240" w:lineRule="auto"/>
        <w:jc w:val="center"/>
        <w:rPr>
          <w:rFonts w:eastAsia="Times New Roman" w:cs="Times New Roman"/>
          <w:szCs w:val="24"/>
        </w:rPr>
      </w:pPr>
      <w:r>
        <w:rPr>
          <w:rFonts w:eastAsia="Times New Roman" w:cs="Times New Roman"/>
          <w:szCs w:val="24"/>
        </w:rPr>
        <w:t>CHAPTER 100C. CIVIL ACTIONS RELATED TO PUBLIC NUISANCES</w:t>
      </w:r>
    </w:p>
    <w:p w:rsidR="00A02337" w:rsidRDefault="00A02337" w:rsidP="008C00FB">
      <w:pPr>
        <w:spacing w:after="0" w:line="240" w:lineRule="auto"/>
        <w:jc w:val="center"/>
        <w:rPr>
          <w:rFonts w:eastAsia="Times New Roman" w:cs="Times New Roman"/>
          <w:szCs w:val="24"/>
        </w:rPr>
      </w:pPr>
    </w:p>
    <w:p w:rsidR="00A02337" w:rsidRDefault="00A02337" w:rsidP="008C00FB">
      <w:pPr>
        <w:spacing w:after="0" w:line="240" w:lineRule="auto"/>
        <w:ind w:left="720"/>
        <w:jc w:val="both"/>
        <w:rPr>
          <w:rFonts w:eastAsia="Times New Roman" w:cs="Times New Roman"/>
          <w:szCs w:val="24"/>
        </w:rPr>
      </w:pPr>
      <w:r>
        <w:rPr>
          <w:rFonts w:eastAsia="Times New Roman" w:cs="Times New Roman"/>
          <w:szCs w:val="24"/>
        </w:rPr>
        <w:t>Sec. 100C.001. DEFINITION. Defines "public nuisance claim."</w:t>
      </w:r>
    </w:p>
    <w:p w:rsidR="00A02337" w:rsidRDefault="00A02337" w:rsidP="008C00FB">
      <w:pPr>
        <w:spacing w:after="0" w:line="240" w:lineRule="auto"/>
        <w:ind w:left="720"/>
        <w:jc w:val="both"/>
        <w:rPr>
          <w:rFonts w:eastAsia="Times New Roman" w:cs="Times New Roman"/>
          <w:szCs w:val="24"/>
        </w:rPr>
      </w:pPr>
    </w:p>
    <w:p w:rsidR="00A02337" w:rsidRDefault="00A02337" w:rsidP="008C00FB">
      <w:pPr>
        <w:spacing w:after="0" w:line="240" w:lineRule="auto"/>
        <w:ind w:left="720"/>
        <w:jc w:val="both"/>
        <w:rPr>
          <w:rFonts w:eastAsia="Times New Roman" w:cs="Times New Roman"/>
          <w:szCs w:val="24"/>
        </w:rPr>
      </w:pPr>
      <w:r>
        <w:rPr>
          <w:rFonts w:eastAsia="Times New Roman" w:cs="Times New Roman"/>
          <w:szCs w:val="24"/>
        </w:rPr>
        <w:t>Sec. 100C.002. LIMITATIONS ON COMMON LAW NUISANCE CLAIMS. (a) Provides that a public nuisance claim is not cognizable in this state if it seeks relief arising from:</w:t>
      </w:r>
    </w:p>
    <w:p w:rsidR="00A02337" w:rsidRDefault="00A02337" w:rsidP="008C00FB">
      <w:pPr>
        <w:spacing w:after="0" w:line="240" w:lineRule="auto"/>
        <w:ind w:left="720"/>
        <w:jc w:val="both"/>
        <w:rPr>
          <w:rFonts w:eastAsia="Times New Roman" w:cs="Times New Roman"/>
          <w:szCs w:val="24"/>
        </w:rPr>
      </w:pPr>
    </w:p>
    <w:p w:rsidR="00A02337" w:rsidRDefault="00A02337" w:rsidP="008C00FB">
      <w:pPr>
        <w:spacing w:after="0" w:line="240" w:lineRule="auto"/>
        <w:ind w:left="2160"/>
        <w:jc w:val="both"/>
        <w:rPr>
          <w:rFonts w:eastAsia="Times New Roman" w:cs="Times New Roman"/>
          <w:szCs w:val="24"/>
        </w:rPr>
      </w:pPr>
      <w:r w:rsidRPr="00016899">
        <w:rPr>
          <w:rFonts w:eastAsia="Times New Roman" w:cs="Times New Roman"/>
          <w:szCs w:val="24"/>
        </w:rPr>
        <w:t>(1) an action or condition that is authorized, licensed, approved, or mandated by a statute, ordinance, regulation, permit, order, rule, or other similar measure issued, adopted, promulgated, or approved by the federal government, a federal agency, a state, a state agency, or a political subdivision;</w:t>
      </w:r>
    </w:p>
    <w:p w:rsidR="00A02337" w:rsidRPr="00016899" w:rsidRDefault="00A02337" w:rsidP="008C00FB">
      <w:pPr>
        <w:spacing w:after="0" w:line="240" w:lineRule="auto"/>
        <w:ind w:left="2160"/>
        <w:jc w:val="both"/>
        <w:rPr>
          <w:rFonts w:eastAsia="Times New Roman" w:cs="Times New Roman"/>
          <w:szCs w:val="24"/>
        </w:rPr>
      </w:pPr>
    </w:p>
    <w:p w:rsidR="00A02337" w:rsidRDefault="00A02337" w:rsidP="008C00FB">
      <w:pPr>
        <w:spacing w:after="0" w:line="240" w:lineRule="auto"/>
        <w:ind w:left="2160"/>
        <w:jc w:val="both"/>
        <w:rPr>
          <w:rFonts w:eastAsia="Times New Roman" w:cs="Times New Roman"/>
          <w:szCs w:val="24"/>
        </w:rPr>
      </w:pPr>
      <w:r w:rsidRPr="00016899">
        <w:rPr>
          <w:rFonts w:eastAsia="Times New Roman" w:cs="Times New Roman"/>
          <w:szCs w:val="24"/>
        </w:rPr>
        <w:t>(2) an action or condition that occurs or exists in a context where a statutory cause of action or administrative enforcement mechanism already exists to address conduct that is injurious to the public; or</w:t>
      </w:r>
    </w:p>
    <w:p w:rsidR="00A02337" w:rsidRPr="00016899" w:rsidRDefault="00A02337" w:rsidP="008C00FB">
      <w:pPr>
        <w:spacing w:after="0" w:line="240" w:lineRule="auto"/>
        <w:ind w:left="2160"/>
        <w:jc w:val="both"/>
        <w:rPr>
          <w:rFonts w:eastAsia="Times New Roman" w:cs="Times New Roman"/>
          <w:szCs w:val="24"/>
        </w:rPr>
      </w:pPr>
    </w:p>
    <w:p w:rsidR="00A02337" w:rsidRDefault="00A02337" w:rsidP="008C00FB">
      <w:pPr>
        <w:spacing w:after="0" w:line="240" w:lineRule="auto"/>
        <w:ind w:left="2160"/>
        <w:jc w:val="both"/>
        <w:rPr>
          <w:rFonts w:eastAsia="Times New Roman" w:cs="Times New Roman"/>
          <w:szCs w:val="24"/>
        </w:rPr>
      </w:pPr>
      <w:r w:rsidRPr="00016899">
        <w:rPr>
          <w:rFonts w:eastAsia="Times New Roman" w:cs="Times New Roman"/>
          <w:szCs w:val="24"/>
        </w:rPr>
        <w:t>(3) a product or a claim based on the manufacturing, distributing, selling, labeling, or marketing of a product, regardless of whether the product is defective.</w:t>
      </w:r>
    </w:p>
    <w:p w:rsidR="00A02337" w:rsidRDefault="00A02337" w:rsidP="008C00FB">
      <w:pPr>
        <w:spacing w:after="0" w:line="240" w:lineRule="auto"/>
        <w:ind w:left="1440"/>
        <w:jc w:val="both"/>
        <w:rPr>
          <w:rFonts w:eastAsia="Times New Roman" w:cs="Times New Roman"/>
          <w:szCs w:val="24"/>
        </w:rPr>
      </w:pPr>
    </w:p>
    <w:p w:rsidR="00A02337" w:rsidRDefault="00A02337" w:rsidP="008C00FB">
      <w:pPr>
        <w:spacing w:after="0" w:line="240" w:lineRule="auto"/>
        <w:ind w:left="1440"/>
        <w:jc w:val="both"/>
        <w:rPr>
          <w:rFonts w:eastAsia="Times New Roman" w:cs="Times New Roman"/>
          <w:szCs w:val="24"/>
        </w:rPr>
      </w:pPr>
      <w:r>
        <w:rPr>
          <w:rFonts w:eastAsia="Times New Roman" w:cs="Times New Roman"/>
          <w:szCs w:val="24"/>
        </w:rPr>
        <w:t xml:space="preserve">(b) Provides that the aggregation of multiple injuries to individuals or of private nuisances does not constitute a public nuisance or give rise a public nuisance claim. </w:t>
      </w:r>
    </w:p>
    <w:p w:rsidR="00A02337" w:rsidRDefault="00A02337" w:rsidP="008C00FB">
      <w:pPr>
        <w:spacing w:after="0" w:line="240" w:lineRule="auto"/>
        <w:ind w:left="1440"/>
        <w:jc w:val="both"/>
        <w:rPr>
          <w:rFonts w:eastAsia="Times New Roman" w:cs="Times New Roman"/>
          <w:szCs w:val="24"/>
        </w:rPr>
      </w:pPr>
    </w:p>
    <w:p w:rsidR="00A02337" w:rsidRDefault="00A02337" w:rsidP="008C00FB">
      <w:pPr>
        <w:spacing w:after="0" w:line="240" w:lineRule="auto"/>
        <w:ind w:left="1440"/>
        <w:jc w:val="both"/>
        <w:rPr>
          <w:rFonts w:eastAsia="Times New Roman" w:cs="Times New Roman"/>
          <w:szCs w:val="24"/>
        </w:rPr>
      </w:pPr>
      <w:r>
        <w:rPr>
          <w:rFonts w:eastAsia="Times New Roman" w:cs="Times New Roman"/>
          <w:szCs w:val="24"/>
        </w:rPr>
        <w:t xml:space="preserve">(c) Prohibits this section from being construed to limit a claimant from obtaining relief provided by other law. </w:t>
      </w:r>
    </w:p>
    <w:p w:rsidR="00A02337" w:rsidRDefault="00A02337" w:rsidP="008C00FB">
      <w:pPr>
        <w:spacing w:after="0" w:line="240" w:lineRule="auto"/>
        <w:ind w:left="1440"/>
        <w:jc w:val="both"/>
        <w:rPr>
          <w:rFonts w:eastAsia="Times New Roman" w:cs="Times New Roman"/>
          <w:szCs w:val="24"/>
        </w:rPr>
      </w:pPr>
    </w:p>
    <w:p w:rsidR="00A02337" w:rsidRPr="005C2A78" w:rsidRDefault="00A02337" w:rsidP="008C00FB">
      <w:pPr>
        <w:spacing w:after="0" w:line="240" w:lineRule="auto"/>
        <w:ind w:left="720"/>
        <w:jc w:val="both"/>
        <w:rPr>
          <w:rFonts w:eastAsia="Times New Roman" w:cs="Times New Roman"/>
          <w:szCs w:val="24"/>
        </w:rPr>
      </w:pPr>
      <w:r>
        <w:rPr>
          <w:rFonts w:eastAsia="Times New Roman" w:cs="Times New Roman"/>
          <w:szCs w:val="24"/>
        </w:rPr>
        <w:t xml:space="preserve">Sec. 100C.003. RELATIONSHIP TO COMMON LAW. Provides that, to the extent of a conflict between this chapter and the common law of public nuisance, this chapter controls. Provides that, otherwise, this chapter supplements the common law of public nuisance, both as to the claim and defenses. </w:t>
      </w:r>
    </w:p>
    <w:p w:rsidR="00A02337" w:rsidRPr="005C2A78" w:rsidRDefault="00A02337" w:rsidP="008C00FB">
      <w:pPr>
        <w:spacing w:after="0" w:line="240" w:lineRule="auto"/>
        <w:jc w:val="both"/>
        <w:rPr>
          <w:rFonts w:eastAsia="Times New Roman" w:cs="Times New Roman"/>
          <w:szCs w:val="24"/>
        </w:rPr>
      </w:pPr>
    </w:p>
    <w:p w:rsidR="00A02337" w:rsidRPr="005C2A78" w:rsidRDefault="00A02337" w:rsidP="008C00F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Chapter 100C, Civil Practice and Remedies Code, as added by this Act, prospective. </w:t>
      </w:r>
    </w:p>
    <w:p w:rsidR="00A02337" w:rsidRPr="005C2A78" w:rsidRDefault="00A02337" w:rsidP="008C00FB">
      <w:pPr>
        <w:spacing w:after="0" w:line="240" w:lineRule="auto"/>
        <w:jc w:val="both"/>
        <w:rPr>
          <w:rFonts w:eastAsia="Times New Roman" w:cs="Times New Roman"/>
          <w:szCs w:val="24"/>
        </w:rPr>
      </w:pPr>
    </w:p>
    <w:p w:rsidR="00A02337" w:rsidRPr="00C8671F" w:rsidRDefault="00A02337" w:rsidP="008C00F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2025. </w:t>
      </w:r>
    </w:p>
    <w:sectPr w:rsidR="00A0233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694B" w:rsidRDefault="0086694B" w:rsidP="000F1DF9">
      <w:pPr>
        <w:spacing w:after="0" w:line="240" w:lineRule="auto"/>
      </w:pPr>
      <w:r>
        <w:separator/>
      </w:r>
    </w:p>
  </w:endnote>
  <w:endnote w:type="continuationSeparator" w:id="0">
    <w:p w:rsidR="0086694B" w:rsidRDefault="0086694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6694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02337">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02337">
                <w:rPr>
                  <w:sz w:val="20"/>
                  <w:szCs w:val="20"/>
                </w:rPr>
                <w:t>S.B. 779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02337">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6694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694B" w:rsidRDefault="0086694B" w:rsidP="000F1DF9">
      <w:pPr>
        <w:spacing w:after="0" w:line="240" w:lineRule="auto"/>
      </w:pPr>
      <w:r>
        <w:separator/>
      </w:r>
    </w:p>
  </w:footnote>
  <w:footnote w:type="continuationSeparator" w:id="0">
    <w:p w:rsidR="0086694B" w:rsidRDefault="0086694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41F26"/>
    <w:rsid w:val="00774EC7"/>
    <w:rsid w:val="00833061"/>
    <w:rsid w:val="0086694B"/>
    <w:rsid w:val="008A6859"/>
    <w:rsid w:val="0093341F"/>
    <w:rsid w:val="009562E3"/>
    <w:rsid w:val="00986E9F"/>
    <w:rsid w:val="00A02337"/>
    <w:rsid w:val="00A877C4"/>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51F6E"/>
  <w15:docId w15:val="{6F6DBA0E-1582-4CA8-B44E-33D68FFD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A0233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54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CBF117703054AFF80ECF5C07B92A966"/>
        <w:category>
          <w:name w:val="General"/>
          <w:gallery w:val="placeholder"/>
        </w:category>
        <w:types>
          <w:type w:val="bbPlcHdr"/>
        </w:types>
        <w:behaviors>
          <w:behavior w:val="content"/>
        </w:behaviors>
        <w:guid w:val="{E1EF5EBD-2518-4DB5-A798-3C4B660C6011}"/>
      </w:docPartPr>
      <w:docPartBody>
        <w:p w:rsidR="0033193B" w:rsidRDefault="0033193B"/>
      </w:docPartBody>
    </w:docPart>
    <w:docPart>
      <w:docPartPr>
        <w:name w:val="342C8FBE65A54D83986A408688EA25F7"/>
        <w:category>
          <w:name w:val="General"/>
          <w:gallery w:val="placeholder"/>
        </w:category>
        <w:types>
          <w:type w:val="bbPlcHdr"/>
        </w:types>
        <w:behaviors>
          <w:behavior w:val="content"/>
        </w:behaviors>
        <w:guid w:val="{CAA2EA4A-34F3-4664-85BD-12AD3F2B242E}"/>
      </w:docPartPr>
      <w:docPartBody>
        <w:p w:rsidR="0033193B" w:rsidRDefault="0033193B"/>
      </w:docPartBody>
    </w:docPart>
    <w:docPart>
      <w:docPartPr>
        <w:name w:val="286C5E6ED22F47BFBCBD7B8EEAAFAB57"/>
        <w:category>
          <w:name w:val="General"/>
          <w:gallery w:val="placeholder"/>
        </w:category>
        <w:types>
          <w:type w:val="bbPlcHdr"/>
        </w:types>
        <w:behaviors>
          <w:behavior w:val="content"/>
        </w:behaviors>
        <w:guid w:val="{A82A8941-8F3B-45C7-A37C-76A197DE8C36}"/>
      </w:docPartPr>
      <w:docPartBody>
        <w:p w:rsidR="0033193B" w:rsidRDefault="0033193B"/>
      </w:docPartBody>
    </w:docPart>
    <w:docPart>
      <w:docPartPr>
        <w:name w:val="E44BC5BBC67F4E6DB7E80B513D24A77E"/>
        <w:category>
          <w:name w:val="General"/>
          <w:gallery w:val="placeholder"/>
        </w:category>
        <w:types>
          <w:type w:val="bbPlcHdr"/>
        </w:types>
        <w:behaviors>
          <w:behavior w:val="content"/>
        </w:behaviors>
        <w:guid w:val="{3CA2BCA6-3FF5-406B-B5F7-39EBCD6F1B15}"/>
      </w:docPartPr>
      <w:docPartBody>
        <w:p w:rsidR="0033193B" w:rsidRDefault="0033193B"/>
      </w:docPartBody>
    </w:docPart>
    <w:docPart>
      <w:docPartPr>
        <w:name w:val="78AD23ADF5D44C908486E9E2ADB31944"/>
        <w:category>
          <w:name w:val="General"/>
          <w:gallery w:val="placeholder"/>
        </w:category>
        <w:types>
          <w:type w:val="bbPlcHdr"/>
        </w:types>
        <w:behaviors>
          <w:behavior w:val="content"/>
        </w:behaviors>
        <w:guid w:val="{7D3218B0-B878-4565-A8EA-DC9380499A34}"/>
      </w:docPartPr>
      <w:docPartBody>
        <w:p w:rsidR="0033193B" w:rsidRDefault="0033193B"/>
      </w:docPartBody>
    </w:docPart>
    <w:docPart>
      <w:docPartPr>
        <w:name w:val="251E03260D304B3AA845446CA64C4BEF"/>
        <w:category>
          <w:name w:val="General"/>
          <w:gallery w:val="placeholder"/>
        </w:category>
        <w:types>
          <w:type w:val="bbPlcHdr"/>
        </w:types>
        <w:behaviors>
          <w:behavior w:val="content"/>
        </w:behaviors>
        <w:guid w:val="{4B5CF372-29BA-4BC7-B0BA-818315483420}"/>
      </w:docPartPr>
      <w:docPartBody>
        <w:p w:rsidR="0033193B" w:rsidRDefault="0033193B"/>
      </w:docPartBody>
    </w:docPart>
    <w:docPart>
      <w:docPartPr>
        <w:name w:val="6BE8347575624FDD9C1F4997732035C9"/>
        <w:category>
          <w:name w:val="General"/>
          <w:gallery w:val="placeholder"/>
        </w:category>
        <w:types>
          <w:type w:val="bbPlcHdr"/>
        </w:types>
        <w:behaviors>
          <w:behavior w:val="content"/>
        </w:behaviors>
        <w:guid w:val="{DCE31D18-B1F0-42FA-B936-46CE299CB346}"/>
      </w:docPartPr>
      <w:docPartBody>
        <w:p w:rsidR="0033193B" w:rsidRDefault="0033193B"/>
      </w:docPartBody>
    </w:docPart>
    <w:docPart>
      <w:docPartPr>
        <w:name w:val="0C43A107807840C688889D7367C1F136"/>
        <w:category>
          <w:name w:val="General"/>
          <w:gallery w:val="placeholder"/>
        </w:category>
        <w:types>
          <w:type w:val="bbPlcHdr"/>
        </w:types>
        <w:behaviors>
          <w:behavior w:val="content"/>
        </w:behaviors>
        <w:guid w:val="{D7C67A8E-C6F2-42C8-8911-E064B5D130B7}"/>
      </w:docPartPr>
      <w:docPartBody>
        <w:p w:rsidR="0033193B" w:rsidRDefault="0033193B"/>
      </w:docPartBody>
    </w:docPart>
    <w:docPart>
      <w:docPartPr>
        <w:name w:val="22B3D595B22B4DC0BE8B17040EFB58F7"/>
        <w:category>
          <w:name w:val="General"/>
          <w:gallery w:val="placeholder"/>
        </w:category>
        <w:types>
          <w:type w:val="bbPlcHdr"/>
        </w:types>
        <w:behaviors>
          <w:behavior w:val="content"/>
        </w:behaviors>
        <w:guid w:val="{5468B92B-67EE-4302-B56C-0A6024A94A39}"/>
      </w:docPartPr>
      <w:docPartBody>
        <w:p w:rsidR="0033193B" w:rsidRDefault="0033193B"/>
      </w:docPartBody>
    </w:docPart>
    <w:docPart>
      <w:docPartPr>
        <w:name w:val="9CDE51DE885648988B2EB68D0E534F2D"/>
        <w:category>
          <w:name w:val="General"/>
          <w:gallery w:val="placeholder"/>
        </w:category>
        <w:types>
          <w:type w:val="bbPlcHdr"/>
        </w:types>
        <w:behaviors>
          <w:behavior w:val="content"/>
        </w:behaviors>
        <w:guid w:val="{2B0AE6B3-1FDB-4520-A4E5-5435DA19BE6E}"/>
      </w:docPartPr>
      <w:docPartBody>
        <w:p w:rsidR="0033193B" w:rsidRDefault="00817AD1" w:rsidP="00817AD1">
          <w:pPr>
            <w:pStyle w:val="9CDE51DE885648988B2EB68D0E534F2D"/>
          </w:pPr>
          <w:r w:rsidRPr="00A30DD1">
            <w:rPr>
              <w:rStyle w:val="PlaceholderText"/>
            </w:rPr>
            <w:t>Click here to enter a date.</w:t>
          </w:r>
        </w:p>
      </w:docPartBody>
    </w:docPart>
    <w:docPart>
      <w:docPartPr>
        <w:name w:val="F48BC363852748EBA3E0B7AF97D377D6"/>
        <w:category>
          <w:name w:val="General"/>
          <w:gallery w:val="placeholder"/>
        </w:category>
        <w:types>
          <w:type w:val="bbPlcHdr"/>
        </w:types>
        <w:behaviors>
          <w:behavior w:val="content"/>
        </w:behaviors>
        <w:guid w:val="{BEB19D2B-CF14-4988-8A4E-1DE047395411}"/>
      </w:docPartPr>
      <w:docPartBody>
        <w:p w:rsidR="0033193B" w:rsidRDefault="0033193B"/>
      </w:docPartBody>
    </w:docPart>
    <w:docPart>
      <w:docPartPr>
        <w:name w:val="7DC0FA1E0737475B890CC2BA4D13166C"/>
        <w:category>
          <w:name w:val="General"/>
          <w:gallery w:val="placeholder"/>
        </w:category>
        <w:types>
          <w:type w:val="bbPlcHdr"/>
        </w:types>
        <w:behaviors>
          <w:behavior w:val="content"/>
        </w:behaviors>
        <w:guid w:val="{8FB7139B-5870-401A-9C72-7A238A87A981}"/>
      </w:docPartPr>
      <w:docPartBody>
        <w:p w:rsidR="0033193B" w:rsidRDefault="0033193B"/>
      </w:docPartBody>
    </w:docPart>
    <w:docPart>
      <w:docPartPr>
        <w:name w:val="91D0A3E3ED944F84BCFD5850E98B5C44"/>
        <w:category>
          <w:name w:val="General"/>
          <w:gallery w:val="placeholder"/>
        </w:category>
        <w:types>
          <w:type w:val="bbPlcHdr"/>
        </w:types>
        <w:behaviors>
          <w:behavior w:val="content"/>
        </w:behaviors>
        <w:guid w:val="{FBC07AE8-E935-457A-AB02-5E58F01E4B41}"/>
      </w:docPartPr>
      <w:docPartBody>
        <w:p w:rsidR="0033193B" w:rsidRDefault="00817AD1" w:rsidP="00817AD1">
          <w:pPr>
            <w:pStyle w:val="91D0A3E3ED944F84BCFD5850E98B5C44"/>
          </w:pPr>
          <w:r>
            <w:rPr>
              <w:rFonts w:eastAsia="Times New Roman" w:cs="Times New Roman"/>
              <w:bCs/>
            </w:rPr>
            <w:t xml:space="preserve"> </w:t>
          </w:r>
        </w:p>
      </w:docPartBody>
    </w:docPart>
    <w:docPart>
      <w:docPartPr>
        <w:name w:val="4CC35D4071784A3CB4B7CD0753519E8B"/>
        <w:category>
          <w:name w:val="General"/>
          <w:gallery w:val="placeholder"/>
        </w:category>
        <w:types>
          <w:type w:val="bbPlcHdr"/>
        </w:types>
        <w:behaviors>
          <w:behavior w:val="content"/>
        </w:behaviors>
        <w:guid w:val="{1F209EA5-1BB2-465C-BBE5-971689B371EA}"/>
      </w:docPartPr>
      <w:docPartBody>
        <w:p w:rsidR="0033193B" w:rsidRDefault="0033193B"/>
      </w:docPartBody>
    </w:docPart>
    <w:docPart>
      <w:docPartPr>
        <w:name w:val="CDC3F8553C764B77996233EA838E5C38"/>
        <w:category>
          <w:name w:val="General"/>
          <w:gallery w:val="placeholder"/>
        </w:category>
        <w:types>
          <w:type w:val="bbPlcHdr"/>
        </w:types>
        <w:behaviors>
          <w:behavior w:val="content"/>
        </w:behaviors>
        <w:guid w:val="{540E0C76-C8CA-4824-94C7-CE8BB550ADEA}"/>
      </w:docPartPr>
      <w:docPartBody>
        <w:p w:rsidR="0033193B" w:rsidRDefault="003319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3193B"/>
    <w:rsid w:val="004816E8"/>
    <w:rsid w:val="00493D6D"/>
    <w:rsid w:val="00576003"/>
    <w:rsid w:val="005B408E"/>
    <w:rsid w:val="005D31F2"/>
    <w:rsid w:val="00635291"/>
    <w:rsid w:val="006959CC"/>
    <w:rsid w:val="00696675"/>
    <w:rsid w:val="006B0016"/>
    <w:rsid w:val="00817AD1"/>
    <w:rsid w:val="008C55F7"/>
    <w:rsid w:val="0090598B"/>
    <w:rsid w:val="00984D6C"/>
    <w:rsid w:val="00A54AD6"/>
    <w:rsid w:val="00A57564"/>
    <w:rsid w:val="00A877C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7AD1"/>
    <w:rPr>
      <w:color w:val="808080"/>
    </w:rPr>
  </w:style>
  <w:style w:type="paragraph" w:customStyle="1" w:styleId="9CDE51DE885648988B2EB68D0E534F2D">
    <w:name w:val="9CDE51DE885648988B2EB68D0E534F2D"/>
    <w:rsid w:val="00817AD1"/>
    <w:pPr>
      <w:spacing w:after="160" w:line="278" w:lineRule="auto"/>
    </w:pPr>
    <w:rPr>
      <w:kern w:val="2"/>
      <w:sz w:val="24"/>
      <w:szCs w:val="24"/>
      <w14:ligatures w14:val="standardContextual"/>
    </w:rPr>
  </w:style>
  <w:style w:type="paragraph" w:customStyle="1" w:styleId="91D0A3E3ED944F84BCFD5850E98B5C44">
    <w:name w:val="91D0A3E3ED944F84BCFD5850E98B5C44"/>
    <w:rsid w:val="00817AD1"/>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481</Words>
  <Characters>2743</Characters>
  <Application>Microsoft Office Word</Application>
  <DocSecurity>0</DocSecurity>
  <Lines>22</Lines>
  <Paragraphs>6</Paragraphs>
  <ScaleCrop>false</ScaleCrop>
  <Company>Texas Legislative Council</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2025-03-14T23:02:00Z</cp:lastPrinted>
  <dcterms:created xsi:type="dcterms:W3CDTF">2015-05-29T14:24:00Z</dcterms:created>
  <dcterms:modified xsi:type="dcterms:W3CDTF">2025-03-14T23:03:00Z</dcterms:modified>
</cp:coreProperties>
</file>

<file path=docProps/custom.xml><?xml version="1.0" encoding="utf-8"?>
<op:Properties xmlns:vt="http://schemas.openxmlformats.org/officeDocument/2006/docPropsVTypes" xmlns:op="http://schemas.openxmlformats.org/officeDocument/2006/custom-properties"/>
</file>