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549D" w:rsidRDefault="00F6549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2AF23D433DE4DB080D59AB1A9606A2B"/>
          </w:placeholder>
        </w:sdtPr>
        <w:sdtContent>
          <w:r w:rsidRPr="005C2A78">
            <w:rPr>
              <w:rFonts w:cs="Times New Roman"/>
              <w:b/>
              <w:szCs w:val="24"/>
              <w:u w:val="single"/>
            </w:rPr>
            <w:t>BILL ANALYSIS</w:t>
          </w:r>
        </w:sdtContent>
      </w:sdt>
    </w:p>
    <w:p w:rsidR="00F6549D" w:rsidRPr="00585C31" w:rsidRDefault="00F6549D" w:rsidP="000F1DF9">
      <w:pPr>
        <w:spacing w:after="0" w:line="240" w:lineRule="auto"/>
        <w:rPr>
          <w:rFonts w:cs="Times New Roman"/>
          <w:szCs w:val="24"/>
        </w:rPr>
      </w:pPr>
    </w:p>
    <w:p w:rsidR="00F6549D" w:rsidRPr="00585C31" w:rsidRDefault="00F6549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6549D" w:rsidTr="000F1DF9">
        <w:tc>
          <w:tcPr>
            <w:tcW w:w="2718" w:type="dxa"/>
          </w:tcPr>
          <w:p w:rsidR="00F6549D" w:rsidRPr="005C2A78" w:rsidRDefault="00F6549D" w:rsidP="006D756B">
            <w:pPr>
              <w:rPr>
                <w:rFonts w:cs="Times New Roman"/>
                <w:szCs w:val="24"/>
              </w:rPr>
            </w:pPr>
            <w:sdt>
              <w:sdtPr>
                <w:rPr>
                  <w:rFonts w:cs="Times New Roman"/>
                  <w:szCs w:val="24"/>
                </w:rPr>
                <w:alias w:val="Agency Title"/>
                <w:tag w:val="AgencyTitleContentControl"/>
                <w:id w:val="1920747753"/>
                <w:lock w:val="sdtContentLocked"/>
                <w:placeholder>
                  <w:docPart w:val="FBE5281668F1400BBDC7B861B742C390"/>
                </w:placeholder>
              </w:sdtPr>
              <w:sdtEndPr>
                <w:rPr>
                  <w:rFonts w:cstheme="minorBidi"/>
                  <w:szCs w:val="22"/>
                </w:rPr>
              </w:sdtEndPr>
              <w:sdtContent>
                <w:r>
                  <w:rPr>
                    <w:rFonts w:cs="Times New Roman"/>
                    <w:szCs w:val="24"/>
                  </w:rPr>
                  <w:t>Senate Research Center</w:t>
                </w:r>
              </w:sdtContent>
            </w:sdt>
          </w:p>
        </w:tc>
        <w:tc>
          <w:tcPr>
            <w:tcW w:w="6858" w:type="dxa"/>
          </w:tcPr>
          <w:p w:rsidR="00F6549D" w:rsidRPr="00FF6471" w:rsidRDefault="00F6549D" w:rsidP="000F1DF9">
            <w:pPr>
              <w:jc w:val="right"/>
              <w:rPr>
                <w:rFonts w:cs="Times New Roman"/>
                <w:szCs w:val="24"/>
              </w:rPr>
            </w:pPr>
            <w:sdt>
              <w:sdtPr>
                <w:rPr>
                  <w:rFonts w:cs="Times New Roman"/>
                  <w:szCs w:val="24"/>
                </w:rPr>
                <w:alias w:val="Bill Number"/>
                <w:tag w:val="BillNumberOne"/>
                <w:id w:val="-410784069"/>
                <w:lock w:val="sdtContentLocked"/>
                <w:placeholder>
                  <w:docPart w:val="059CCEA29403439F8422ACE493854269"/>
                </w:placeholder>
              </w:sdtPr>
              <w:sdtContent>
                <w:r>
                  <w:rPr>
                    <w:rFonts w:cs="Times New Roman"/>
                    <w:szCs w:val="24"/>
                  </w:rPr>
                  <w:t>S.B. 985</w:t>
                </w:r>
              </w:sdtContent>
            </w:sdt>
          </w:p>
        </w:tc>
      </w:tr>
      <w:tr w:rsidR="00F6549D" w:rsidTr="000F1DF9">
        <w:sdt>
          <w:sdtPr>
            <w:rPr>
              <w:rFonts w:cs="Times New Roman"/>
              <w:szCs w:val="24"/>
            </w:rPr>
            <w:alias w:val="TLCNumber"/>
            <w:tag w:val="TLCNumber"/>
            <w:id w:val="-542600604"/>
            <w:lock w:val="sdtLocked"/>
            <w:placeholder>
              <w:docPart w:val="EA275855959A48308C06531BB9CCEAA5"/>
            </w:placeholder>
            <w:showingPlcHdr/>
          </w:sdtPr>
          <w:sdtContent>
            <w:tc>
              <w:tcPr>
                <w:tcW w:w="2718" w:type="dxa"/>
              </w:tcPr>
              <w:p w:rsidR="00F6549D" w:rsidRPr="000F1DF9" w:rsidRDefault="00F6549D" w:rsidP="00C65088">
                <w:pPr>
                  <w:rPr>
                    <w:rFonts w:cs="Times New Roman"/>
                    <w:szCs w:val="24"/>
                  </w:rPr>
                </w:pPr>
              </w:p>
            </w:tc>
          </w:sdtContent>
        </w:sdt>
        <w:tc>
          <w:tcPr>
            <w:tcW w:w="6858" w:type="dxa"/>
          </w:tcPr>
          <w:p w:rsidR="00F6549D" w:rsidRPr="005C2A78" w:rsidRDefault="00F6549D" w:rsidP="00073EDD">
            <w:pPr>
              <w:jc w:val="right"/>
              <w:rPr>
                <w:rFonts w:cs="Times New Roman"/>
                <w:szCs w:val="24"/>
              </w:rPr>
            </w:pPr>
            <w:sdt>
              <w:sdtPr>
                <w:rPr>
                  <w:rFonts w:cs="Times New Roman"/>
                  <w:szCs w:val="24"/>
                </w:rPr>
                <w:alias w:val="Author Label"/>
                <w:tag w:val="By"/>
                <w:id w:val="72399597"/>
                <w:lock w:val="sdtLocked"/>
                <w:placeholder>
                  <w:docPart w:val="514610910032492C9DDD3FF7D6149A6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6377282015E44BBA0B3B456C7D3630A"/>
                </w:placeholder>
              </w:sdtPr>
              <w:sdtContent>
                <w:r>
                  <w:rPr>
                    <w:rFonts w:cs="Times New Roman"/>
                    <w:szCs w:val="24"/>
                  </w:rPr>
                  <w:t>Bettencourt; Paxton</w:t>
                </w:r>
              </w:sdtContent>
            </w:sdt>
            <w:sdt>
              <w:sdtPr>
                <w:rPr>
                  <w:rFonts w:cs="Times New Roman"/>
                  <w:szCs w:val="24"/>
                </w:rPr>
                <w:alias w:val="Sponsor"/>
                <w:tag w:val="Sponsor"/>
                <w:id w:val="-2039656131"/>
                <w:lock w:val="sdtContentLocked"/>
                <w:placeholder>
                  <w:docPart w:val="286D1789EA9849668D5D7623B376CFEF"/>
                </w:placeholder>
                <w:showingPlcHdr/>
              </w:sdtPr>
              <w:sdtContent/>
            </w:sdt>
            <w:sdt>
              <w:sdtPr>
                <w:rPr>
                  <w:rFonts w:cs="Times New Roman"/>
                  <w:szCs w:val="24"/>
                </w:rPr>
                <w:alias w:val="DualSponsor"/>
                <w:tag w:val="DualSponsor"/>
                <w:id w:val="1029379812"/>
                <w:lock w:val="sdtContentLocked"/>
                <w:placeholder>
                  <w:docPart w:val="6E5A379521F548B59898531866BF8146"/>
                </w:placeholder>
                <w:showingPlcHdr/>
              </w:sdtPr>
              <w:sdtContent/>
            </w:sdt>
          </w:p>
        </w:tc>
      </w:tr>
      <w:tr w:rsidR="00F6549D" w:rsidTr="000F1DF9">
        <w:tc>
          <w:tcPr>
            <w:tcW w:w="2718" w:type="dxa"/>
          </w:tcPr>
          <w:p w:rsidR="00F6549D" w:rsidRPr="00BC7495" w:rsidRDefault="00F6549D" w:rsidP="000F1DF9">
            <w:pPr>
              <w:rPr>
                <w:rFonts w:cs="Times New Roman"/>
                <w:szCs w:val="24"/>
              </w:rPr>
            </w:pPr>
          </w:p>
        </w:tc>
        <w:sdt>
          <w:sdtPr>
            <w:rPr>
              <w:rFonts w:cs="Times New Roman"/>
              <w:szCs w:val="24"/>
            </w:rPr>
            <w:alias w:val="Committee"/>
            <w:tag w:val="Committee"/>
            <w:id w:val="1914272295"/>
            <w:lock w:val="sdtContentLocked"/>
            <w:placeholder>
              <w:docPart w:val="E2A066B3F92C434A9ECC9D4B6CB6FDB1"/>
            </w:placeholder>
          </w:sdtPr>
          <w:sdtContent>
            <w:tc>
              <w:tcPr>
                <w:tcW w:w="6858" w:type="dxa"/>
              </w:tcPr>
              <w:p w:rsidR="00F6549D" w:rsidRPr="00FF6471" w:rsidRDefault="00F6549D" w:rsidP="000F1DF9">
                <w:pPr>
                  <w:jc w:val="right"/>
                  <w:rPr>
                    <w:rFonts w:cs="Times New Roman"/>
                    <w:szCs w:val="24"/>
                  </w:rPr>
                </w:pPr>
                <w:r>
                  <w:rPr>
                    <w:rFonts w:cs="Times New Roman"/>
                    <w:szCs w:val="24"/>
                  </w:rPr>
                  <w:t>State Affairs</w:t>
                </w:r>
              </w:p>
            </w:tc>
          </w:sdtContent>
        </w:sdt>
      </w:tr>
      <w:tr w:rsidR="00F6549D" w:rsidTr="000F1DF9">
        <w:tc>
          <w:tcPr>
            <w:tcW w:w="2718" w:type="dxa"/>
          </w:tcPr>
          <w:p w:rsidR="00F6549D" w:rsidRPr="00BC7495" w:rsidRDefault="00F6549D" w:rsidP="000F1DF9">
            <w:pPr>
              <w:rPr>
                <w:rFonts w:cs="Times New Roman"/>
                <w:szCs w:val="24"/>
              </w:rPr>
            </w:pPr>
          </w:p>
        </w:tc>
        <w:sdt>
          <w:sdtPr>
            <w:rPr>
              <w:rFonts w:cs="Times New Roman"/>
              <w:szCs w:val="24"/>
            </w:rPr>
            <w:alias w:val="Date"/>
            <w:tag w:val="DateContentControl"/>
            <w:id w:val="1178081906"/>
            <w:lock w:val="sdtLocked"/>
            <w:placeholder>
              <w:docPart w:val="1714CC233154417D926E9FF4362B8369"/>
            </w:placeholder>
            <w:date w:fullDate="2025-06-02T00:00:00Z">
              <w:dateFormat w:val="M/d/yyyy"/>
              <w:lid w:val="en-US"/>
              <w:storeMappedDataAs w:val="dateTime"/>
              <w:calendar w:val="gregorian"/>
            </w:date>
          </w:sdtPr>
          <w:sdtContent>
            <w:tc>
              <w:tcPr>
                <w:tcW w:w="6858" w:type="dxa"/>
              </w:tcPr>
              <w:p w:rsidR="00F6549D" w:rsidRPr="00FF6471" w:rsidRDefault="00F6549D" w:rsidP="000F1DF9">
                <w:pPr>
                  <w:jc w:val="right"/>
                  <w:rPr>
                    <w:rFonts w:cs="Times New Roman"/>
                    <w:szCs w:val="24"/>
                  </w:rPr>
                </w:pPr>
                <w:r>
                  <w:rPr>
                    <w:rFonts w:cs="Times New Roman"/>
                    <w:szCs w:val="24"/>
                  </w:rPr>
                  <w:t>6/2/2025</w:t>
                </w:r>
              </w:p>
            </w:tc>
          </w:sdtContent>
        </w:sdt>
      </w:tr>
      <w:tr w:rsidR="00F6549D" w:rsidTr="000F1DF9">
        <w:tc>
          <w:tcPr>
            <w:tcW w:w="2718" w:type="dxa"/>
          </w:tcPr>
          <w:p w:rsidR="00F6549D" w:rsidRPr="00BC7495" w:rsidRDefault="00F6549D" w:rsidP="000F1DF9">
            <w:pPr>
              <w:rPr>
                <w:rFonts w:cs="Times New Roman"/>
                <w:szCs w:val="24"/>
              </w:rPr>
            </w:pPr>
          </w:p>
        </w:tc>
        <w:sdt>
          <w:sdtPr>
            <w:rPr>
              <w:rFonts w:cs="Times New Roman"/>
              <w:szCs w:val="24"/>
            </w:rPr>
            <w:alias w:val="BA Version"/>
            <w:tag w:val="BAVersion"/>
            <w:id w:val="-1685590809"/>
            <w:lock w:val="sdtContentLocked"/>
            <w:placeholder>
              <w:docPart w:val="ADCA05358B3547DDBC57EB521DA788F0"/>
            </w:placeholder>
          </w:sdtPr>
          <w:sdtContent>
            <w:tc>
              <w:tcPr>
                <w:tcW w:w="6858" w:type="dxa"/>
              </w:tcPr>
              <w:p w:rsidR="00F6549D" w:rsidRPr="00FF6471" w:rsidRDefault="00F6549D" w:rsidP="000F1DF9">
                <w:pPr>
                  <w:jc w:val="right"/>
                  <w:rPr>
                    <w:rFonts w:cs="Times New Roman"/>
                    <w:szCs w:val="24"/>
                  </w:rPr>
                </w:pPr>
                <w:r>
                  <w:rPr>
                    <w:rFonts w:cs="Times New Roman"/>
                    <w:szCs w:val="24"/>
                  </w:rPr>
                  <w:t>Enrolled</w:t>
                </w:r>
              </w:p>
            </w:tc>
          </w:sdtContent>
        </w:sdt>
      </w:tr>
    </w:tbl>
    <w:p w:rsidR="00F6549D" w:rsidRPr="00FF6471" w:rsidRDefault="00F6549D" w:rsidP="000F1DF9">
      <w:pPr>
        <w:spacing w:after="0" w:line="240" w:lineRule="auto"/>
        <w:rPr>
          <w:rFonts w:cs="Times New Roman"/>
          <w:szCs w:val="24"/>
        </w:rPr>
      </w:pPr>
    </w:p>
    <w:p w:rsidR="00F6549D" w:rsidRPr="00FF6471" w:rsidRDefault="00F6549D" w:rsidP="000F1DF9">
      <w:pPr>
        <w:spacing w:after="0" w:line="240" w:lineRule="auto"/>
        <w:rPr>
          <w:rFonts w:cs="Times New Roman"/>
          <w:szCs w:val="24"/>
        </w:rPr>
      </w:pPr>
    </w:p>
    <w:p w:rsidR="00F6549D" w:rsidRPr="00FF6471" w:rsidRDefault="00F6549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F52C35C383493C97BE8437A90F3DA2"/>
        </w:placeholder>
      </w:sdtPr>
      <w:sdtContent>
        <w:p w:rsidR="00F6549D" w:rsidRDefault="00F6549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69DD6A2984147BE9CE309161D8982BA"/>
        </w:placeholder>
      </w:sdtPr>
      <w:sdtContent>
        <w:p w:rsidR="00F6549D" w:rsidRDefault="00F6549D" w:rsidP="006C2648">
          <w:pPr>
            <w:pStyle w:val="NormalWeb"/>
            <w:spacing w:before="0" w:beforeAutospacing="0" w:after="0" w:afterAutospacing="0"/>
            <w:jc w:val="both"/>
            <w:divId w:val="184709711"/>
            <w:rPr>
              <w:rFonts w:eastAsia="Times New Roman" w:cstheme="minorBidi"/>
              <w:bCs/>
              <w:szCs w:val="22"/>
            </w:rPr>
          </w:pPr>
        </w:p>
        <w:p w:rsidR="00F6549D" w:rsidRDefault="00F6549D" w:rsidP="006C2648">
          <w:pPr>
            <w:pStyle w:val="NormalWeb"/>
            <w:spacing w:before="0" w:beforeAutospacing="0" w:after="0" w:afterAutospacing="0"/>
            <w:jc w:val="both"/>
            <w:divId w:val="184709711"/>
          </w:pPr>
          <w:r w:rsidRPr="006C2648">
            <w:t xml:space="preserve">During the 88th Legislative Session, the legislature passed S.B. 924. Unfortunately, due to an amendment added to the bill, unintended consequences have impacted elections throughout the state regarding combining election precincts. </w:t>
          </w:r>
        </w:p>
        <w:p w:rsidR="00F6549D" w:rsidRDefault="00F6549D" w:rsidP="006C2648">
          <w:pPr>
            <w:pStyle w:val="NormalWeb"/>
            <w:spacing w:before="0" w:beforeAutospacing="0" w:after="0" w:afterAutospacing="0"/>
            <w:jc w:val="both"/>
            <w:divId w:val="184709711"/>
          </w:pPr>
        </w:p>
        <w:p w:rsidR="00F6549D" w:rsidRDefault="00F6549D" w:rsidP="006C2648">
          <w:pPr>
            <w:pStyle w:val="NormalWeb"/>
            <w:spacing w:before="0" w:beforeAutospacing="0" w:after="0" w:afterAutospacing="0"/>
            <w:jc w:val="both"/>
            <w:divId w:val="184709711"/>
          </w:pPr>
          <w:r w:rsidRPr="006C2648">
            <w:t xml:space="preserve">S.B. 985 amends the Election Code to allow for county election precincts with fewer than 500 registered voters to be combined to avoid unreasonable expenditures for a general or special election or a primary election. This bill also allows for a county with a population of not less than 250,000 people to be combined as long as it results in county election precincts with more than 500 but less than 750 registered voters. </w:t>
          </w:r>
        </w:p>
        <w:p w:rsidR="00F6549D" w:rsidRDefault="00F6549D" w:rsidP="006C2648">
          <w:pPr>
            <w:pStyle w:val="NormalWeb"/>
            <w:spacing w:before="0" w:beforeAutospacing="0" w:after="0" w:afterAutospacing="0"/>
            <w:jc w:val="both"/>
            <w:divId w:val="184709711"/>
          </w:pPr>
        </w:p>
        <w:p w:rsidR="00F6549D" w:rsidRPr="006C2648" w:rsidRDefault="00F6549D" w:rsidP="006C2648">
          <w:pPr>
            <w:pStyle w:val="NormalWeb"/>
            <w:spacing w:before="0" w:beforeAutospacing="0" w:after="0" w:afterAutospacing="0"/>
            <w:jc w:val="both"/>
            <w:divId w:val="184709711"/>
          </w:pPr>
          <w:r w:rsidRPr="006C2648">
            <w:t>Lastly, S.B. 985 allows for a county with a population of less than 1.2 million that does not participate in countywide polling to combine precincts as long as the precinct does not contain more than 10,000 registered voters.</w:t>
          </w:r>
        </w:p>
        <w:p w:rsidR="00F6549D" w:rsidRPr="00D70925" w:rsidRDefault="00F6549D" w:rsidP="006C2648">
          <w:pPr>
            <w:spacing w:after="0" w:line="240" w:lineRule="auto"/>
            <w:jc w:val="both"/>
            <w:rPr>
              <w:rFonts w:eastAsia="Times New Roman" w:cs="Times New Roman"/>
              <w:bCs/>
              <w:szCs w:val="24"/>
            </w:rPr>
          </w:pPr>
        </w:p>
      </w:sdtContent>
    </w:sdt>
    <w:p w:rsidR="00F6549D" w:rsidRPr="006527D0" w:rsidRDefault="00F6549D" w:rsidP="00F6549D">
      <w:pPr>
        <w:spacing w:after="0" w:line="240" w:lineRule="auto"/>
        <w:jc w:val="both"/>
        <w:rPr>
          <w:rFonts w:eastAsia="Times New Roman" w:cs="Times New Roman"/>
          <w:b/>
          <w:szCs w:val="24"/>
          <w:u w:val="single"/>
        </w:rPr>
      </w:pPr>
      <w:r w:rsidRPr="006527D0">
        <w:rPr>
          <w:rFonts w:cs="Times New Roman"/>
          <w:szCs w:val="24"/>
        </w:rPr>
        <w:t xml:space="preserve">S.B. 985 </w:t>
      </w:r>
      <w:bookmarkStart w:id="0" w:name="AmendsCurrentLaw"/>
      <w:bookmarkEnd w:id="0"/>
      <w:r w:rsidRPr="006527D0">
        <w:rPr>
          <w:rFonts w:cs="Times New Roman"/>
          <w:szCs w:val="24"/>
        </w:rPr>
        <w:t>amends current law relating to the combination of certain election precincts.</w:t>
      </w:r>
    </w:p>
    <w:p w:rsidR="00F6549D" w:rsidRPr="006527D0" w:rsidRDefault="00F6549D" w:rsidP="00F6549D">
      <w:pPr>
        <w:spacing w:after="0" w:line="240" w:lineRule="auto"/>
        <w:jc w:val="both"/>
        <w:rPr>
          <w:rFonts w:eastAsia="Times New Roman" w:cs="Times New Roman"/>
          <w:szCs w:val="24"/>
        </w:rPr>
      </w:pPr>
    </w:p>
    <w:p w:rsidR="00F6549D" w:rsidRPr="006527D0" w:rsidRDefault="00F6549D" w:rsidP="00F6549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B8103700C3B4D3BAC1A785E24A85DA4"/>
          </w:placeholder>
        </w:sdtPr>
        <w:sdtContent>
          <w:r w:rsidRPr="006527D0">
            <w:rPr>
              <w:rFonts w:eastAsia="Times New Roman" w:cs="Times New Roman"/>
              <w:b/>
              <w:szCs w:val="24"/>
              <w:u w:val="single"/>
            </w:rPr>
            <w:t>RULEMAKING AUTHORITY</w:t>
          </w:r>
        </w:sdtContent>
      </w:sdt>
    </w:p>
    <w:p w:rsidR="00F6549D" w:rsidRPr="006527D0" w:rsidRDefault="00F6549D" w:rsidP="00F6549D">
      <w:pPr>
        <w:spacing w:after="0" w:line="240" w:lineRule="auto"/>
        <w:jc w:val="both"/>
        <w:rPr>
          <w:rFonts w:cs="Times New Roman"/>
          <w:szCs w:val="24"/>
        </w:rPr>
      </w:pPr>
    </w:p>
    <w:p w:rsidR="00F6549D" w:rsidRPr="006527D0" w:rsidRDefault="00F6549D" w:rsidP="00F6549D">
      <w:pPr>
        <w:spacing w:after="0" w:line="240" w:lineRule="auto"/>
        <w:jc w:val="both"/>
        <w:rPr>
          <w:rFonts w:cs="Times New Roman"/>
          <w:szCs w:val="24"/>
        </w:rPr>
      </w:pPr>
      <w:r w:rsidRPr="006527D0">
        <w:rPr>
          <w:rFonts w:cs="Times New Roman"/>
          <w:szCs w:val="24"/>
        </w:rPr>
        <w:t>This bill does not expressly grant any additional rulemaking authority to a state officer, institution, or agency.</w:t>
      </w:r>
    </w:p>
    <w:p w:rsidR="00F6549D" w:rsidRPr="006527D0" w:rsidRDefault="00F6549D" w:rsidP="00F6549D">
      <w:pPr>
        <w:spacing w:after="0" w:line="240" w:lineRule="auto"/>
        <w:jc w:val="both"/>
        <w:rPr>
          <w:rFonts w:cs="Times New Roman"/>
          <w:szCs w:val="24"/>
        </w:rPr>
      </w:pPr>
    </w:p>
    <w:p w:rsidR="00F6549D" w:rsidRPr="006527D0" w:rsidRDefault="00F6549D" w:rsidP="00F6549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59F886A18444FFCB0A1D041EF8935BC"/>
          </w:placeholder>
        </w:sdtPr>
        <w:sdtContent>
          <w:r w:rsidRPr="006527D0">
            <w:rPr>
              <w:rFonts w:eastAsia="Times New Roman" w:cs="Times New Roman"/>
              <w:b/>
              <w:szCs w:val="24"/>
              <w:u w:val="single"/>
            </w:rPr>
            <w:t>SECTION BY SECTION ANALYSIS</w:t>
          </w:r>
        </w:sdtContent>
      </w:sdt>
    </w:p>
    <w:p w:rsidR="00F6549D" w:rsidRPr="006527D0" w:rsidRDefault="00F6549D" w:rsidP="00F6549D">
      <w:pPr>
        <w:spacing w:after="0" w:line="240" w:lineRule="auto"/>
        <w:jc w:val="both"/>
        <w:rPr>
          <w:rFonts w:eastAsia="Times New Roman" w:cs="Times New Roman"/>
          <w:szCs w:val="24"/>
        </w:rPr>
      </w:pPr>
    </w:p>
    <w:p w:rsidR="00F6549D" w:rsidRPr="006527D0" w:rsidRDefault="00F6549D" w:rsidP="00F6549D">
      <w:pPr>
        <w:spacing w:after="0" w:line="240" w:lineRule="auto"/>
        <w:jc w:val="both"/>
        <w:rPr>
          <w:rFonts w:eastAsia="Times New Roman" w:cs="Times New Roman"/>
          <w:szCs w:val="24"/>
        </w:rPr>
      </w:pPr>
      <w:r w:rsidRPr="006527D0">
        <w:rPr>
          <w:rFonts w:eastAsia="Times New Roman" w:cs="Times New Roman"/>
          <w:szCs w:val="24"/>
        </w:rPr>
        <w:t>SECTION 1. Amends Section 42.0051, Election Code, as follows:</w:t>
      </w:r>
    </w:p>
    <w:p w:rsidR="00F6549D" w:rsidRPr="006527D0" w:rsidRDefault="00F6549D" w:rsidP="00F6549D">
      <w:pPr>
        <w:spacing w:after="0" w:line="240" w:lineRule="auto"/>
        <w:jc w:val="both"/>
        <w:rPr>
          <w:rFonts w:eastAsia="Times New Roman" w:cs="Times New Roman"/>
          <w:szCs w:val="24"/>
        </w:rPr>
      </w:pPr>
    </w:p>
    <w:p w:rsidR="00F6549D" w:rsidRPr="006527D0" w:rsidRDefault="00F6549D" w:rsidP="00F6549D">
      <w:pPr>
        <w:spacing w:after="0" w:line="240" w:lineRule="auto"/>
        <w:ind w:left="720"/>
        <w:jc w:val="both"/>
        <w:rPr>
          <w:rFonts w:eastAsia="Times New Roman" w:cs="Times New Roman"/>
          <w:szCs w:val="24"/>
        </w:rPr>
      </w:pPr>
      <w:r w:rsidRPr="006527D0">
        <w:rPr>
          <w:rFonts w:eastAsia="Times New Roman" w:cs="Times New Roman"/>
          <w:szCs w:val="24"/>
        </w:rPr>
        <w:t>Sec. 42.0051.  COMBINING CERTAIN PRECINCTS. (a) Authorizes a commissioners court for a general or special election, or for a primary election the county executive committee of a political party conducting a primary election,</w:t>
      </w:r>
      <w:r w:rsidRPr="006527D0">
        <w:t xml:space="preserve"> </w:t>
      </w:r>
      <w:r w:rsidRPr="006527D0">
        <w:rPr>
          <w:rFonts w:eastAsia="Times New Roman" w:cs="Times New Roman"/>
          <w:szCs w:val="24"/>
        </w:rPr>
        <w:t xml:space="preserve">if changes in county election precinct boundaries to give effect to a redistricting plan result in county election precincts with fewer than </w:t>
      </w:r>
      <w:r>
        <w:rPr>
          <w:rFonts w:eastAsia="Times New Roman" w:cs="Times New Roman"/>
          <w:szCs w:val="24"/>
        </w:rPr>
        <w:t>3,000</w:t>
      </w:r>
      <w:r w:rsidRPr="006527D0">
        <w:rPr>
          <w:rFonts w:eastAsia="Times New Roman" w:cs="Times New Roman"/>
          <w:szCs w:val="24"/>
        </w:rPr>
        <w:t xml:space="preserve"> registered voters, to combine county election precincts notwithstanding Section 42.005 (Relationship to Districts and Justice and Commissioners Precincts) to avoid unreasonable expenditures for election equipment, supplies, and personnel. Deletes existing text providing that this section applies only to a county with a population of less than 1.2 million that does not participate in the countywide polling place program described by Section 43.007 (Countywide Polling Place Program).</w:t>
      </w:r>
    </w:p>
    <w:p w:rsidR="00F6549D" w:rsidRPr="006527D0" w:rsidRDefault="00F6549D" w:rsidP="00F6549D">
      <w:pPr>
        <w:spacing w:after="0" w:line="240" w:lineRule="auto"/>
        <w:ind w:left="720"/>
        <w:jc w:val="both"/>
        <w:rPr>
          <w:rFonts w:eastAsia="Times New Roman" w:cs="Times New Roman"/>
          <w:szCs w:val="24"/>
        </w:rPr>
      </w:pPr>
    </w:p>
    <w:p w:rsidR="00F6549D" w:rsidRPr="006527D0" w:rsidRDefault="00F6549D" w:rsidP="00F6549D">
      <w:pPr>
        <w:spacing w:after="0" w:line="240" w:lineRule="auto"/>
        <w:ind w:left="1440"/>
        <w:jc w:val="both"/>
        <w:rPr>
          <w:rFonts w:eastAsia="Times New Roman" w:cs="Times New Roman"/>
          <w:szCs w:val="24"/>
        </w:rPr>
      </w:pPr>
      <w:r w:rsidRPr="006527D0">
        <w:rPr>
          <w:rFonts w:eastAsia="Times New Roman" w:cs="Times New Roman"/>
          <w:szCs w:val="24"/>
        </w:rPr>
        <w:t>(</w:t>
      </w:r>
      <w:r>
        <w:rPr>
          <w:rFonts w:eastAsia="Times New Roman" w:cs="Times New Roman"/>
          <w:szCs w:val="24"/>
        </w:rPr>
        <w:t>b</w:t>
      </w:r>
      <w:r w:rsidRPr="006527D0">
        <w:rPr>
          <w:rFonts w:eastAsia="Times New Roman" w:cs="Times New Roman"/>
          <w:szCs w:val="24"/>
        </w:rPr>
        <w:t>) Provides that a combined precinct under Subsection (a) is subject to the maximum population prescribed for a precinct under Section 42.006</w:t>
      </w:r>
      <w:r>
        <w:rPr>
          <w:rFonts w:eastAsia="Times New Roman" w:cs="Times New Roman"/>
          <w:szCs w:val="24"/>
        </w:rPr>
        <w:t xml:space="preserve"> (Population Requirements)</w:t>
      </w:r>
      <w:r w:rsidRPr="006527D0">
        <w:rPr>
          <w:rFonts w:eastAsia="Times New Roman" w:cs="Times New Roman"/>
          <w:szCs w:val="24"/>
        </w:rPr>
        <w:t>.</w:t>
      </w:r>
    </w:p>
    <w:p w:rsidR="00F6549D" w:rsidRPr="006527D0" w:rsidRDefault="00F6549D" w:rsidP="00F6549D">
      <w:pPr>
        <w:spacing w:after="0" w:line="240" w:lineRule="auto"/>
        <w:ind w:left="1440"/>
        <w:jc w:val="both"/>
        <w:rPr>
          <w:rFonts w:eastAsia="Times New Roman" w:cs="Times New Roman"/>
          <w:szCs w:val="24"/>
        </w:rPr>
      </w:pPr>
    </w:p>
    <w:p w:rsidR="00F6549D" w:rsidRPr="006527D0" w:rsidRDefault="00F6549D" w:rsidP="00F6549D">
      <w:pPr>
        <w:spacing w:after="0" w:line="240" w:lineRule="auto"/>
        <w:ind w:left="1440"/>
        <w:jc w:val="both"/>
        <w:rPr>
          <w:rFonts w:eastAsia="Times New Roman" w:cs="Times New Roman"/>
          <w:szCs w:val="24"/>
        </w:rPr>
      </w:pPr>
      <w:r w:rsidRPr="006527D0">
        <w:rPr>
          <w:rFonts w:eastAsia="Times New Roman" w:cs="Times New Roman"/>
          <w:szCs w:val="24"/>
        </w:rPr>
        <w:t>(</w:t>
      </w:r>
      <w:r>
        <w:rPr>
          <w:rFonts w:eastAsia="Times New Roman" w:cs="Times New Roman"/>
          <w:szCs w:val="24"/>
        </w:rPr>
        <w:t>c</w:t>
      </w:r>
      <w:r w:rsidRPr="006527D0">
        <w:rPr>
          <w:rFonts w:eastAsia="Times New Roman" w:cs="Times New Roman"/>
          <w:szCs w:val="24"/>
        </w:rPr>
        <w:t xml:space="preserve">) </w:t>
      </w:r>
      <w:r>
        <w:rPr>
          <w:rFonts w:eastAsia="Times New Roman" w:cs="Times New Roman"/>
          <w:szCs w:val="24"/>
        </w:rPr>
        <w:t xml:space="preserve">Redesignates existing Subsection (a-1) as Subsection (c). Authorizes </w:t>
      </w:r>
      <w:r w:rsidRPr="006C2648">
        <w:rPr>
          <w:rFonts w:eastAsia="Times New Roman" w:cs="Times New Roman"/>
          <w:szCs w:val="24"/>
        </w:rPr>
        <w:t>the commissioner's court</w:t>
      </w:r>
      <w:r>
        <w:rPr>
          <w:rFonts w:eastAsia="Times New Roman" w:cs="Times New Roman"/>
          <w:szCs w:val="24"/>
        </w:rPr>
        <w:t xml:space="preserve">, </w:t>
      </w:r>
      <w:r w:rsidRPr="006C2648">
        <w:rPr>
          <w:rFonts w:eastAsia="Times New Roman" w:cs="Times New Roman"/>
          <w:szCs w:val="24"/>
        </w:rPr>
        <w:t xml:space="preserve">in a county that does not participate in the countywide polling place program described by Section 43.007, for a general or special election for which use of county election precincts is required, on the recommendation of the county election board, or for a primary election for which use of county election precincts is required, the county executive committee of a political party conducting the primary election, </w:t>
      </w:r>
      <w:r>
        <w:rPr>
          <w:rFonts w:eastAsia="Times New Roman" w:cs="Times New Roman"/>
          <w:szCs w:val="24"/>
        </w:rPr>
        <w:t xml:space="preserve">to </w:t>
      </w:r>
      <w:r w:rsidRPr="006C2648">
        <w:rPr>
          <w:rFonts w:eastAsia="Times New Roman" w:cs="Times New Roman"/>
          <w:szCs w:val="24"/>
        </w:rPr>
        <w:t>combine county election precincts notwithstanding Section 42.005 if</w:t>
      </w:r>
      <w:r>
        <w:rPr>
          <w:rFonts w:eastAsia="Times New Roman" w:cs="Times New Roman"/>
          <w:szCs w:val="24"/>
        </w:rPr>
        <w:t xml:space="preserve"> certain conditions are met. Makes a nonsubstantive change.</w:t>
      </w:r>
    </w:p>
    <w:p w:rsidR="00F6549D" w:rsidRPr="006527D0" w:rsidRDefault="00F6549D" w:rsidP="00F6549D">
      <w:pPr>
        <w:spacing w:after="0" w:line="240" w:lineRule="auto"/>
        <w:ind w:left="1440"/>
        <w:jc w:val="both"/>
        <w:rPr>
          <w:rFonts w:eastAsia="Times New Roman" w:cs="Times New Roman"/>
          <w:szCs w:val="24"/>
        </w:rPr>
      </w:pPr>
    </w:p>
    <w:p w:rsidR="00F6549D" w:rsidRPr="006527D0" w:rsidRDefault="00F6549D" w:rsidP="00F6549D">
      <w:pPr>
        <w:spacing w:after="0" w:line="240" w:lineRule="auto"/>
        <w:ind w:left="1440"/>
        <w:jc w:val="both"/>
        <w:rPr>
          <w:rFonts w:eastAsia="Times New Roman" w:cs="Times New Roman"/>
          <w:szCs w:val="24"/>
        </w:rPr>
      </w:pPr>
      <w:r w:rsidRPr="006527D0">
        <w:rPr>
          <w:rFonts w:eastAsia="Times New Roman" w:cs="Times New Roman"/>
          <w:szCs w:val="24"/>
        </w:rPr>
        <w:t>(</w:t>
      </w:r>
      <w:r>
        <w:rPr>
          <w:rFonts w:eastAsia="Times New Roman" w:cs="Times New Roman"/>
          <w:szCs w:val="24"/>
        </w:rPr>
        <w:t>d</w:t>
      </w:r>
      <w:r w:rsidRPr="006527D0">
        <w:rPr>
          <w:rFonts w:eastAsia="Times New Roman" w:cs="Times New Roman"/>
          <w:szCs w:val="24"/>
        </w:rPr>
        <w:t xml:space="preserve">) </w:t>
      </w:r>
      <w:r>
        <w:rPr>
          <w:rFonts w:eastAsia="Times New Roman" w:cs="Times New Roman"/>
          <w:szCs w:val="24"/>
        </w:rPr>
        <w:t xml:space="preserve">Redesignates existing Subsection (c) as Subsection (d). </w:t>
      </w:r>
      <w:r w:rsidRPr="006527D0">
        <w:rPr>
          <w:rFonts w:eastAsia="Times New Roman" w:cs="Times New Roman"/>
          <w:szCs w:val="24"/>
        </w:rPr>
        <w:t>Prohibits a combined precinct under Subsection (</w:t>
      </w:r>
      <w:r>
        <w:rPr>
          <w:rFonts w:eastAsia="Times New Roman" w:cs="Times New Roman"/>
          <w:szCs w:val="24"/>
        </w:rPr>
        <w:t>c</w:t>
      </w:r>
      <w:r w:rsidRPr="006527D0">
        <w:rPr>
          <w:rFonts w:eastAsia="Times New Roman" w:cs="Times New Roman"/>
          <w:szCs w:val="24"/>
        </w:rPr>
        <w:t>), rather than under this section, from containing more than 10,000 registered voters.</w:t>
      </w:r>
    </w:p>
    <w:p w:rsidR="00F6549D" w:rsidRPr="006527D0" w:rsidRDefault="00F6549D" w:rsidP="00F6549D">
      <w:pPr>
        <w:spacing w:after="0" w:line="240" w:lineRule="auto"/>
        <w:ind w:left="1440"/>
        <w:jc w:val="both"/>
        <w:rPr>
          <w:rFonts w:eastAsia="Times New Roman" w:cs="Times New Roman"/>
          <w:szCs w:val="24"/>
        </w:rPr>
      </w:pPr>
    </w:p>
    <w:p w:rsidR="00F6549D" w:rsidRDefault="00F6549D" w:rsidP="00F6549D">
      <w:pPr>
        <w:spacing w:after="0" w:line="240" w:lineRule="auto"/>
        <w:ind w:left="1440"/>
        <w:jc w:val="both"/>
        <w:rPr>
          <w:rFonts w:eastAsia="Times New Roman" w:cs="Times New Roman"/>
          <w:szCs w:val="24"/>
        </w:rPr>
      </w:pPr>
      <w:r w:rsidRPr="006527D0">
        <w:rPr>
          <w:rFonts w:eastAsia="Times New Roman" w:cs="Times New Roman"/>
          <w:szCs w:val="24"/>
        </w:rPr>
        <w:t>(</w:t>
      </w:r>
      <w:r>
        <w:rPr>
          <w:rFonts w:eastAsia="Times New Roman" w:cs="Times New Roman"/>
          <w:szCs w:val="24"/>
        </w:rPr>
        <w:t>e</w:t>
      </w:r>
      <w:r w:rsidRPr="006527D0">
        <w:rPr>
          <w:rFonts w:eastAsia="Times New Roman" w:cs="Times New Roman"/>
          <w:szCs w:val="24"/>
        </w:rPr>
        <w:t>) Redesignates existing Subsection (d) as Subsection (</w:t>
      </w:r>
      <w:r>
        <w:rPr>
          <w:rFonts w:eastAsia="Times New Roman" w:cs="Times New Roman"/>
          <w:szCs w:val="24"/>
        </w:rPr>
        <w:t>e</w:t>
      </w:r>
      <w:r w:rsidRPr="006527D0">
        <w:rPr>
          <w:rFonts w:eastAsia="Times New Roman" w:cs="Times New Roman"/>
          <w:szCs w:val="24"/>
        </w:rPr>
        <w:t>) and makes no further changes.</w:t>
      </w:r>
    </w:p>
    <w:p w:rsidR="00F6549D" w:rsidRDefault="00F6549D" w:rsidP="00F6549D">
      <w:pPr>
        <w:spacing w:after="0" w:line="240" w:lineRule="auto"/>
        <w:ind w:left="1440"/>
        <w:jc w:val="both"/>
        <w:rPr>
          <w:rFonts w:eastAsia="Times New Roman" w:cs="Times New Roman"/>
          <w:szCs w:val="24"/>
        </w:rPr>
      </w:pPr>
    </w:p>
    <w:p w:rsidR="00F6549D" w:rsidRPr="006527D0" w:rsidRDefault="00F6549D" w:rsidP="00F6549D">
      <w:pPr>
        <w:spacing w:after="0" w:line="240" w:lineRule="auto"/>
        <w:ind w:left="1440"/>
        <w:jc w:val="both"/>
        <w:rPr>
          <w:rFonts w:eastAsia="Times New Roman" w:cs="Times New Roman"/>
          <w:szCs w:val="24"/>
        </w:rPr>
      </w:pPr>
      <w:r w:rsidRPr="006C2648">
        <w:rPr>
          <w:rFonts w:eastAsia="Times New Roman" w:cs="Times New Roman"/>
          <w:szCs w:val="24"/>
        </w:rPr>
        <w:t xml:space="preserve">(f) </w:t>
      </w:r>
      <w:r>
        <w:rPr>
          <w:rFonts w:eastAsia="Times New Roman" w:cs="Times New Roman"/>
          <w:szCs w:val="24"/>
        </w:rPr>
        <w:t>Provides that,</w:t>
      </w:r>
      <w:r w:rsidRPr="006C2648">
        <w:t xml:space="preserve"> </w:t>
      </w:r>
      <w:r w:rsidRPr="006C2648">
        <w:rPr>
          <w:rFonts w:eastAsia="Times New Roman" w:cs="Times New Roman"/>
          <w:szCs w:val="24"/>
        </w:rPr>
        <w:t xml:space="preserve">for the purposes of appointing a presiding election judge and an alternate presiding judge to a county election precinct combined under this section, </w:t>
      </w:r>
      <w:r w:rsidRPr="006C2648">
        <w:rPr>
          <w:rFonts w:eastAsia="Times New Roman" w:cs="Times New Roman"/>
          <w:szCs w:val="24"/>
        </w:rPr>
        <w:t>the combined precinct</w:t>
      </w:r>
      <w:r>
        <w:rPr>
          <w:rFonts w:eastAsia="Times New Roman" w:cs="Times New Roman"/>
          <w:szCs w:val="24"/>
        </w:rPr>
        <w:t xml:space="preserve"> is required to </w:t>
      </w:r>
      <w:r w:rsidRPr="006C2648">
        <w:rPr>
          <w:rFonts w:eastAsia="Times New Roman" w:cs="Times New Roman"/>
          <w:szCs w:val="24"/>
        </w:rPr>
        <w:t xml:space="preserve">be considered a single precinct and the judges </w:t>
      </w:r>
      <w:r>
        <w:rPr>
          <w:rFonts w:eastAsia="Times New Roman" w:cs="Times New Roman"/>
          <w:szCs w:val="24"/>
        </w:rPr>
        <w:t xml:space="preserve">are required to </w:t>
      </w:r>
      <w:r w:rsidRPr="006C2648">
        <w:rPr>
          <w:rFonts w:eastAsia="Times New Roman" w:cs="Times New Roman"/>
          <w:szCs w:val="24"/>
        </w:rPr>
        <w:t>be appointed in accordance with the procedures provided under Chapter 32</w:t>
      </w:r>
      <w:r>
        <w:rPr>
          <w:rFonts w:eastAsia="Times New Roman" w:cs="Times New Roman"/>
          <w:szCs w:val="24"/>
        </w:rPr>
        <w:t xml:space="preserve"> (Election Judges and Clerks)</w:t>
      </w:r>
      <w:r w:rsidRPr="006C2648">
        <w:rPr>
          <w:rFonts w:eastAsia="Times New Roman" w:cs="Times New Roman"/>
          <w:szCs w:val="24"/>
        </w:rPr>
        <w:t>.</w:t>
      </w:r>
    </w:p>
    <w:p w:rsidR="00F6549D" w:rsidRPr="006527D0" w:rsidRDefault="00F6549D" w:rsidP="00F6549D">
      <w:pPr>
        <w:spacing w:after="0" w:line="240" w:lineRule="auto"/>
        <w:ind w:left="1440"/>
        <w:jc w:val="both"/>
        <w:rPr>
          <w:rFonts w:eastAsia="Times New Roman" w:cs="Times New Roman"/>
          <w:szCs w:val="24"/>
        </w:rPr>
      </w:pPr>
    </w:p>
    <w:p w:rsidR="00F6549D" w:rsidRPr="00C8671F" w:rsidRDefault="00F6549D" w:rsidP="00F6549D">
      <w:pPr>
        <w:spacing w:after="0" w:line="240" w:lineRule="auto"/>
        <w:jc w:val="both"/>
        <w:rPr>
          <w:rFonts w:eastAsia="Times New Roman" w:cs="Times New Roman"/>
          <w:szCs w:val="24"/>
        </w:rPr>
      </w:pPr>
      <w:r w:rsidRPr="006527D0">
        <w:rPr>
          <w:rFonts w:eastAsia="Times New Roman" w:cs="Times New Roman"/>
          <w:szCs w:val="24"/>
        </w:rPr>
        <w:t>SECTION 2. Effective date: September 1, 2025.</w:t>
      </w:r>
    </w:p>
    <w:sectPr w:rsidR="00F6549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6F58" w:rsidRDefault="00456F58" w:rsidP="000F1DF9">
      <w:pPr>
        <w:spacing w:after="0" w:line="240" w:lineRule="auto"/>
      </w:pPr>
      <w:r>
        <w:separator/>
      </w:r>
    </w:p>
  </w:endnote>
  <w:endnote w:type="continuationSeparator" w:id="0">
    <w:p w:rsidR="00456F58" w:rsidRDefault="00456F5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56F5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6549D">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6549D">
                <w:rPr>
                  <w:sz w:val="20"/>
                  <w:szCs w:val="20"/>
                </w:rPr>
                <w:t>S.B. 985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6549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56F5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6F58" w:rsidRDefault="00456F58" w:rsidP="000F1DF9">
      <w:pPr>
        <w:spacing w:after="0" w:line="240" w:lineRule="auto"/>
      </w:pPr>
      <w:r>
        <w:separator/>
      </w:r>
    </w:p>
  </w:footnote>
  <w:footnote w:type="continuationSeparator" w:id="0">
    <w:p w:rsidR="00456F58" w:rsidRDefault="00456F5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56F58"/>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6549D"/>
    <w:rsid w:val="00F85C5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5E902"/>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6549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0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2AF23D433DE4DB080D59AB1A9606A2B"/>
        <w:category>
          <w:name w:val="General"/>
          <w:gallery w:val="placeholder"/>
        </w:category>
        <w:types>
          <w:type w:val="bbPlcHdr"/>
        </w:types>
        <w:behaviors>
          <w:behavior w:val="content"/>
        </w:behaviors>
        <w:guid w:val="{366FA731-E113-47BA-B522-F12413246283}"/>
      </w:docPartPr>
      <w:docPartBody>
        <w:p w:rsidR="00902412" w:rsidRDefault="00902412"/>
      </w:docPartBody>
    </w:docPart>
    <w:docPart>
      <w:docPartPr>
        <w:name w:val="FBE5281668F1400BBDC7B861B742C390"/>
        <w:category>
          <w:name w:val="General"/>
          <w:gallery w:val="placeholder"/>
        </w:category>
        <w:types>
          <w:type w:val="bbPlcHdr"/>
        </w:types>
        <w:behaviors>
          <w:behavior w:val="content"/>
        </w:behaviors>
        <w:guid w:val="{83858BFA-6A8A-4D59-BBE1-BE429EED0558}"/>
      </w:docPartPr>
      <w:docPartBody>
        <w:p w:rsidR="00902412" w:rsidRDefault="00902412"/>
      </w:docPartBody>
    </w:docPart>
    <w:docPart>
      <w:docPartPr>
        <w:name w:val="059CCEA29403439F8422ACE493854269"/>
        <w:category>
          <w:name w:val="General"/>
          <w:gallery w:val="placeholder"/>
        </w:category>
        <w:types>
          <w:type w:val="bbPlcHdr"/>
        </w:types>
        <w:behaviors>
          <w:behavior w:val="content"/>
        </w:behaviors>
        <w:guid w:val="{45C72AD5-5B60-4044-ADC6-92815ECB0CDE}"/>
      </w:docPartPr>
      <w:docPartBody>
        <w:p w:rsidR="00902412" w:rsidRDefault="00902412"/>
      </w:docPartBody>
    </w:docPart>
    <w:docPart>
      <w:docPartPr>
        <w:name w:val="EA275855959A48308C06531BB9CCEAA5"/>
        <w:category>
          <w:name w:val="General"/>
          <w:gallery w:val="placeholder"/>
        </w:category>
        <w:types>
          <w:type w:val="bbPlcHdr"/>
        </w:types>
        <w:behaviors>
          <w:behavior w:val="content"/>
        </w:behaviors>
        <w:guid w:val="{17C6C714-2D9E-4DDA-A9D7-6C351F8CBD64}"/>
      </w:docPartPr>
      <w:docPartBody>
        <w:p w:rsidR="00902412" w:rsidRDefault="00902412"/>
      </w:docPartBody>
    </w:docPart>
    <w:docPart>
      <w:docPartPr>
        <w:name w:val="514610910032492C9DDD3FF7D6149A63"/>
        <w:category>
          <w:name w:val="General"/>
          <w:gallery w:val="placeholder"/>
        </w:category>
        <w:types>
          <w:type w:val="bbPlcHdr"/>
        </w:types>
        <w:behaviors>
          <w:behavior w:val="content"/>
        </w:behaviors>
        <w:guid w:val="{337708E4-23BA-4098-815B-0C8197C97025}"/>
      </w:docPartPr>
      <w:docPartBody>
        <w:p w:rsidR="00902412" w:rsidRDefault="00902412"/>
      </w:docPartBody>
    </w:docPart>
    <w:docPart>
      <w:docPartPr>
        <w:name w:val="06377282015E44BBA0B3B456C7D3630A"/>
        <w:category>
          <w:name w:val="General"/>
          <w:gallery w:val="placeholder"/>
        </w:category>
        <w:types>
          <w:type w:val="bbPlcHdr"/>
        </w:types>
        <w:behaviors>
          <w:behavior w:val="content"/>
        </w:behaviors>
        <w:guid w:val="{40944622-FC98-4F04-AE69-9D0786CDA394}"/>
      </w:docPartPr>
      <w:docPartBody>
        <w:p w:rsidR="00902412" w:rsidRDefault="00902412"/>
      </w:docPartBody>
    </w:docPart>
    <w:docPart>
      <w:docPartPr>
        <w:name w:val="286D1789EA9849668D5D7623B376CFEF"/>
        <w:category>
          <w:name w:val="General"/>
          <w:gallery w:val="placeholder"/>
        </w:category>
        <w:types>
          <w:type w:val="bbPlcHdr"/>
        </w:types>
        <w:behaviors>
          <w:behavior w:val="content"/>
        </w:behaviors>
        <w:guid w:val="{9859474B-53C2-43A6-896E-DABE4F551C83}"/>
      </w:docPartPr>
      <w:docPartBody>
        <w:p w:rsidR="00902412" w:rsidRDefault="00902412"/>
      </w:docPartBody>
    </w:docPart>
    <w:docPart>
      <w:docPartPr>
        <w:name w:val="6E5A379521F548B59898531866BF8146"/>
        <w:category>
          <w:name w:val="General"/>
          <w:gallery w:val="placeholder"/>
        </w:category>
        <w:types>
          <w:type w:val="bbPlcHdr"/>
        </w:types>
        <w:behaviors>
          <w:behavior w:val="content"/>
        </w:behaviors>
        <w:guid w:val="{F2306E8D-40DB-469C-A36B-56F3DED4B422}"/>
      </w:docPartPr>
      <w:docPartBody>
        <w:p w:rsidR="00902412" w:rsidRDefault="00902412"/>
      </w:docPartBody>
    </w:docPart>
    <w:docPart>
      <w:docPartPr>
        <w:name w:val="E2A066B3F92C434A9ECC9D4B6CB6FDB1"/>
        <w:category>
          <w:name w:val="General"/>
          <w:gallery w:val="placeholder"/>
        </w:category>
        <w:types>
          <w:type w:val="bbPlcHdr"/>
        </w:types>
        <w:behaviors>
          <w:behavior w:val="content"/>
        </w:behaviors>
        <w:guid w:val="{906275F2-25B8-4D42-AFB0-4F4099F265AC}"/>
      </w:docPartPr>
      <w:docPartBody>
        <w:p w:rsidR="00902412" w:rsidRDefault="00902412"/>
      </w:docPartBody>
    </w:docPart>
    <w:docPart>
      <w:docPartPr>
        <w:name w:val="1714CC233154417D926E9FF4362B8369"/>
        <w:category>
          <w:name w:val="General"/>
          <w:gallery w:val="placeholder"/>
        </w:category>
        <w:types>
          <w:type w:val="bbPlcHdr"/>
        </w:types>
        <w:behaviors>
          <w:behavior w:val="content"/>
        </w:behaviors>
        <w:guid w:val="{CFE0CEFF-E6E0-4214-9F16-B01FE333C645}"/>
      </w:docPartPr>
      <w:docPartBody>
        <w:p w:rsidR="00902412" w:rsidRDefault="001A4796" w:rsidP="001A4796">
          <w:pPr>
            <w:pStyle w:val="1714CC233154417D926E9FF4362B8369"/>
          </w:pPr>
          <w:r w:rsidRPr="00A30DD1">
            <w:rPr>
              <w:rStyle w:val="PlaceholderText"/>
            </w:rPr>
            <w:t>Click here to enter a date.</w:t>
          </w:r>
        </w:p>
      </w:docPartBody>
    </w:docPart>
    <w:docPart>
      <w:docPartPr>
        <w:name w:val="ADCA05358B3547DDBC57EB521DA788F0"/>
        <w:category>
          <w:name w:val="General"/>
          <w:gallery w:val="placeholder"/>
        </w:category>
        <w:types>
          <w:type w:val="bbPlcHdr"/>
        </w:types>
        <w:behaviors>
          <w:behavior w:val="content"/>
        </w:behaviors>
        <w:guid w:val="{319A85FE-2B9C-4CF9-BE35-B0D064F38F4C}"/>
      </w:docPartPr>
      <w:docPartBody>
        <w:p w:rsidR="00902412" w:rsidRDefault="00902412"/>
      </w:docPartBody>
    </w:docPart>
    <w:docPart>
      <w:docPartPr>
        <w:name w:val="49F52C35C383493C97BE8437A90F3DA2"/>
        <w:category>
          <w:name w:val="General"/>
          <w:gallery w:val="placeholder"/>
        </w:category>
        <w:types>
          <w:type w:val="bbPlcHdr"/>
        </w:types>
        <w:behaviors>
          <w:behavior w:val="content"/>
        </w:behaviors>
        <w:guid w:val="{635F3198-6799-48E6-8137-3D36192AA2B4}"/>
      </w:docPartPr>
      <w:docPartBody>
        <w:p w:rsidR="00902412" w:rsidRDefault="00902412"/>
      </w:docPartBody>
    </w:docPart>
    <w:docPart>
      <w:docPartPr>
        <w:name w:val="E69DD6A2984147BE9CE309161D8982BA"/>
        <w:category>
          <w:name w:val="General"/>
          <w:gallery w:val="placeholder"/>
        </w:category>
        <w:types>
          <w:type w:val="bbPlcHdr"/>
        </w:types>
        <w:behaviors>
          <w:behavior w:val="content"/>
        </w:behaviors>
        <w:guid w:val="{6BBB855E-7655-45E5-BF97-DF2E04590588}"/>
      </w:docPartPr>
      <w:docPartBody>
        <w:p w:rsidR="00902412" w:rsidRDefault="001A4796" w:rsidP="001A4796">
          <w:pPr>
            <w:pStyle w:val="E69DD6A2984147BE9CE309161D8982BA"/>
          </w:pPr>
          <w:r>
            <w:rPr>
              <w:rFonts w:eastAsia="Times New Roman" w:cs="Times New Roman"/>
              <w:bCs/>
            </w:rPr>
            <w:t xml:space="preserve"> </w:t>
          </w:r>
        </w:p>
      </w:docPartBody>
    </w:docPart>
    <w:docPart>
      <w:docPartPr>
        <w:name w:val="AB8103700C3B4D3BAC1A785E24A85DA4"/>
        <w:category>
          <w:name w:val="General"/>
          <w:gallery w:val="placeholder"/>
        </w:category>
        <w:types>
          <w:type w:val="bbPlcHdr"/>
        </w:types>
        <w:behaviors>
          <w:behavior w:val="content"/>
        </w:behaviors>
        <w:guid w:val="{65D16953-FFC2-4BD8-A7C7-4F8013FE8782}"/>
      </w:docPartPr>
      <w:docPartBody>
        <w:p w:rsidR="00902412" w:rsidRDefault="00902412"/>
      </w:docPartBody>
    </w:docPart>
    <w:docPart>
      <w:docPartPr>
        <w:name w:val="A59F886A18444FFCB0A1D041EF8935BC"/>
        <w:category>
          <w:name w:val="General"/>
          <w:gallery w:val="placeholder"/>
        </w:category>
        <w:types>
          <w:type w:val="bbPlcHdr"/>
        </w:types>
        <w:behaviors>
          <w:behavior w:val="content"/>
        </w:behaviors>
        <w:guid w:val="{88A25A1D-8250-4890-A3ED-24E0B039DFE4}"/>
      </w:docPartPr>
      <w:docPartBody>
        <w:p w:rsidR="00902412" w:rsidRDefault="009024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A4796"/>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2412"/>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796"/>
    <w:rPr>
      <w:color w:val="808080"/>
    </w:rPr>
  </w:style>
  <w:style w:type="paragraph" w:customStyle="1" w:styleId="1714CC233154417D926E9FF4362B8369">
    <w:name w:val="1714CC233154417D926E9FF4362B8369"/>
    <w:rsid w:val="001A4796"/>
    <w:pPr>
      <w:spacing w:after="160" w:line="278" w:lineRule="auto"/>
    </w:pPr>
    <w:rPr>
      <w:kern w:val="2"/>
      <w:sz w:val="24"/>
      <w:szCs w:val="24"/>
      <w14:ligatures w14:val="standardContextual"/>
    </w:rPr>
  </w:style>
  <w:style w:type="paragraph" w:customStyle="1" w:styleId="E69DD6A2984147BE9CE309161D8982BA">
    <w:name w:val="E69DD6A2984147BE9CE309161D8982BA"/>
    <w:rsid w:val="001A479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563</Words>
  <Characters>3215</Characters>
  <Application>Microsoft Office Word</Application>
  <DocSecurity>0</DocSecurity>
  <Lines>26</Lines>
  <Paragraphs>7</Paragraphs>
  <ScaleCrop>false</ScaleCrop>
  <Company>Texas Legislative Council</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2025-06-04T13:35:00Z</cp:lastPrinted>
  <dcterms:created xsi:type="dcterms:W3CDTF">2015-05-29T14:24:00Z</dcterms:created>
  <dcterms:modified xsi:type="dcterms:W3CDTF">2025-06-04T13:35:00Z</dcterms:modified>
</cp:coreProperties>
</file>

<file path=docProps/custom.xml><?xml version="1.0" encoding="utf-8"?>
<op:Properties xmlns:vt="http://schemas.openxmlformats.org/officeDocument/2006/docPropsVTypes" xmlns:op="http://schemas.openxmlformats.org/officeDocument/2006/custom-properties"/>
</file>