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5E4A" w:rsidRDefault="003B5E4A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15E46A2EF962474ABA3A6C8A8DE712DB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3B5E4A" w:rsidRPr="00585C31" w:rsidRDefault="003B5E4A" w:rsidP="000F1DF9">
      <w:pPr>
        <w:spacing w:after="0" w:line="240" w:lineRule="auto"/>
        <w:rPr>
          <w:rFonts w:cs="Times New Roman"/>
          <w:szCs w:val="24"/>
        </w:rPr>
      </w:pPr>
    </w:p>
    <w:p w:rsidR="003B5E4A" w:rsidRPr="00585C31" w:rsidRDefault="003B5E4A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3B5E4A" w:rsidTr="000F1DF9">
        <w:tc>
          <w:tcPr>
            <w:tcW w:w="2718" w:type="dxa"/>
          </w:tcPr>
          <w:p w:rsidR="003B5E4A" w:rsidRPr="005C2A78" w:rsidRDefault="003B5E4A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5823AE1FF03C4CA0959F278E41119EA9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3B5E4A" w:rsidRPr="00FF6471" w:rsidRDefault="003B5E4A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B389A474BA3D4A25975BEF980DCDBC3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1020</w:t>
                </w:r>
              </w:sdtContent>
            </w:sdt>
          </w:p>
        </w:tc>
      </w:tr>
      <w:tr w:rsidR="003B5E4A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408A6E2272FE40F2B57B06B8FBDFEDD5"/>
            </w:placeholder>
            <w:showingPlcHdr/>
          </w:sdtPr>
          <w:sdtContent>
            <w:tc>
              <w:tcPr>
                <w:tcW w:w="2718" w:type="dxa"/>
              </w:tcPr>
              <w:p w:rsidR="003B5E4A" w:rsidRPr="000F1DF9" w:rsidRDefault="003B5E4A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3B5E4A" w:rsidRPr="005C2A78" w:rsidRDefault="003B5E4A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A2C45C060CCC4E3181C237844614B33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EF94F56E70814AEBA28234DB71C8B26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Huffman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FA57EB4BBDC84492824B161740D82015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05119A3E59AA40A58E23D81158A7D104"/>
                </w:placeholder>
                <w:showingPlcHdr/>
              </w:sdtPr>
              <w:sdtContent/>
            </w:sdt>
          </w:p>
        </w:tc>
      </w:tr>
      <w:tr w:rsidR="003B5E4A" w:rsidTr="000F1DF9">
        <w:tc>
          <w:tcPr>
            <w:tcW w:w="2718" w:type="dxa"/>
          </w:tcPr>
          <w:p w:rsidR="003B5E4A" w:rsidRPr="00BC7495" w:rsidRDefault="003B5E4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279DA67B90614ABD8456F912FFA560C6"/>
            </w:placeholder>
          </w:sdtPr>
          <w:sdtContent>
            <w:tc>
              <w:tcPr>
                <w:tcW w:w="6858" w:type="dxa"/>
              </w:tcPr>
              <w:p w:rsidR="003B5E4A" w:rsidRPr="00FF6471" w:rsidRDefault="003B5E4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3B5E4A" w:rsidTr="000F1DF9">
        <w:tc>
          <w:tcPr>
            <w:tcW w:w="2718" w:type="dxa"/>
          </w:tcPr>
          <w:p w:rsidR="003B5E4A" w:rsidRPr="00BC7495" w:rsidRDefault="003B5E4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D4584071E2BB4822AADF2D02D38FA426"/>
            </w:placeholder>
            <w:date w:fullDate="2025-06-0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3B5E4A" w:rsidRPr="00FF6471" w:rsidRDefault="003B5E4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6/9/2025</w:t>
                </w:r>
              </w:p>
            </w:tc>
          </w:sdtContent>
        </w:sdt>
      </w:tr>
      <w:tr w:rsidR="003B5E4A" w:rsidTr="000F1DF9">
        <w:tc>
          <w:tcPr>
            <w:tcW w:w="2718" w:type="dxa"/>
          </w:tcPr>
          <w:p w:rsidR="003B5E4A" w:rsidRPr="00BC7495" w:rsidRDefault="003B5E4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8A8FC1CD868440A49E9625091B608669"/>
            </w:placeholder>
          </w:sdtPr>
          <w:sdtContent>
            <w:tc>
              <w:tcPr>
                <w:tcW w:w="6858" w:type="dxa"/>
              </w:tcPr>
              <w:p w:rsidR="003B5E4A" w:rsidRPr="00FF6471" w:rsidRDefault="003B5E4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3B5E4A" w:rsidRPr="00FF6471" w:rsidRDefault="003B5E4A" w:rsidP="000F1DF9">
      <w:pPr>
        <w:spacing w:after="0" w:line="240" w:lineRule="auto"/>
        <w:rPr>
          <w:rFonts w:cs="Times New Roman"/>
          <w:szCs w:val="24"/>
        </w:rPr>
      </w:pPr>
    </w:p>
    <w:p w:rsidR="003B5E4A" w:rsidRPr="00FF6471" w:rsidRDefault="003B5E4A" w:rsidP="000F1DF9">
      <w:pPr>
        <w:spacing w:after="0" w:line="240" w:lineRule="auto"/>
        <w:rPr>
          <w:rFonts w:cs="Times New Roman"/>
          <w:szCs w:val="24"/>
        </w:rPr>
      </w:pPr>
    </w:p>
    <w:p w:rsidR="003B5E4A" w:rsidRPr="00FF6471" w:rsidRDefault="003B5E4A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3F079C6DE8EA4B339F2EEF11CD26DFC7"/>
        </w:placeholder>
      </w:sdtPr>
      <w:sdtContent>
        <w:p w:rsidR="003B5E4A" w:rsidRDefault="003B5E4A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1F01FF1664EA42C0860104AEBB570456"/>
        </w:placeholder>
      </w:sdtPr>
      <w:sdtContent>
        <w:p w:rsidR="003B5E4A" w:rsidRDefault="003B5E4A" w:rsidP="00725D58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2048721570"/>
            <w:rPr>
              <w:rFonts w:eastAsia="Times New Roman"/>
              <w:bCs/>
            </w:rPr>
          </w:pPr>
        </w:p>
        <w:p w:rsidR="003B5E4A" w:rsidRPr="00AC0FDD" w:rsidRDefault="003B5E4A" w:rsidP="00725D58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2048721570"/>
            <w:rPr>
              <w:color w:val="000000"/>
            </w:rPr>
          </w:pPr>
          <w:r w:rsidRPr="00AC0FDD">
            <w:rPr>
              <w:color w:val="000000"/>
            </w:rPr>
            <w:t>Electronic monitoring devices are integral tools utilized to increase public safety and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promote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accountability upon the release of individuals charged with, or convicted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of, a crime.</w:t>
          </w:r>
        </w:p>
        <w:p w:rsidR="003B5E4A" w:rsidRDefault="003B5E4A" w:rsidP="00725D58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2048721570"/>
            <w:rPr>
              <w:color w:val="000000"/>
            </w:rPr>
          </w:pPr>
        </w:p>
        <w:p w:rsidR="003B5E4A" w:rsidRDefault="003B5E4A" w:rsidP="00725D58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2048721570"/>
            <w:rPr>
              <w:color w:val="000000"/>
            </w:rPr>
          </w:pPr>
          <w:r w:rsidRPr="00AC0FDD">
            <w:rPr>
              <w:color w:val="000000"/>
            </w:rPr>
            <w:t>When these individuals remove, disable, or destroy an ankle monitor, or violate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other conditions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of their release, it creates a potential public safety risk.</w:t>
          </w:r>
        </w:p>
        <w:p w:rsidR="003B5E4A" w:rsidRDefault="003B5E4A" w:rsidP="00725D58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2048721570"/>
            <w:rPr>
              <w:color w:val="000000"/>
            </w:rPr>
          </w:pPr>
        </w:p>
        <w:p w:rsidR="003B5E4A" w:rsidRDefault="003B5E4A" w:rsidP="00725D58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2048721570"/>
            <w:rPr>
              <w:color w:val="000000"/>
            </w:rPr>
          </w:pPr>
          <w:r w:rsidRPr="00AC0FDD">
            <w:rPr>
              <w:color w:val="000000"/>
            </w:rPr>
            <w:t>S</w:t>
          </w:r>
          <w:r>
            <w:rPr>
              <w:color w:val="000000"/>
            </w:rPr>
            <w:t>.</w:t>
          </w:r>
          <w:r w:rsidRPr="00AC0FDD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AC0FDD">
            <w:rPr>
              <w:color w:val="000000"/>
            </w:rPr>
            <w:t xml:space="preserve"> 1020 requires a personal bond pretrial release office to maintain and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update records of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individuals released on personal bonds, including any failures to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appear in court or compliance issues, including tampering with electronic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monitoring devices.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This information must be shared with the prosecutor and the accused person</w:t>
          </w:r>
          <w:r>
            <w:rPr>
              <w:color w:val="000000"/>
            </w:rPr>
            <w:t>'</w:t>
          </w:r>
          <w:r w:rsidRPr="00AC0FDD">
            <w:rPr>
              <w:color w:val="000000"/>
            </w:rPr>
            <w:t>s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attorney.</w:t>
          </w:r>
        </w:p>
        <w:p w:rsidR="003B5E4A" w:rsidRDefault="003B5E4A" w:rsidP="00725D58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2048721570"/>
            <w:rPr>
              <w:color w:val="000000"/>
            </w:rPr>
          </w:pPr>
        </w:p>
        <w:p w:rsidR="003B5E4A" w:rsidRPr="00AC0FDD" w:rsidRDefault="003B5E4A" w:rsidP="00725D58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2048721570"/>
            <w:rPr>
              <w:color w:val="000000"/>
            </w:rPr>
          </w:pPr>
          <w:r w:rsidRPr="00AC0FDD">
            <w:rPr>
              <w:color w:val="000000"/>
            </w:rPr>
            <w:t>The bill requires a personal bond office to notify the relevant court within 48 hours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of becoming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aware that a defendant violated a condition of release related to an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electronic monitoring device.</w:t>
          </w:r>
        </w:p>
        <w:p w:rsidR="003B5E4A" w:rsidRDefault="003B5E4A" w:rsidP="00725D58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2048721570"/>
            <w:rPr>
              <w:color w:val="000000"/>
            </w:rPr>
          </w:pPr>
        </w:p>
        <w:p w:rsidR="003B5E4A" w:rsidRPr="00AC0FDD" w:rsidRDefault="003B5E4A" w:rsidP="00725D58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2048721570"/>
            <w:rPr>
              <w:color w:val="000000"/>
            </w:rPr>
          </w:pPr>
          <w:r w:rsidRPr="00AC0FDD">
            <w:rPr>
              <w:color w:val="000000"/>
            </w:rPr>
            <w:t>Additionally, the bill requires that a supervision officer, within 48 hours of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becoming aware of a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violation of a condition of community supervision related to an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electronic monitoring device,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notify the judge of the violation.</w:t>
          </w:r>
        </w:p>
        <w:p w:rsidR="003B5E4A" w:rsidRDefault="003B5E4A" w:rsidP="00725D58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2048721570"/>
            <w:rPr>
              <w:color w:val="000000"/>
            </w:rPr>
          </w:pPr>
        </w:p>
        <w:p w:rsidR="003B5E4A" w:rsidRPr="00AC0FDD" w:rsidRDefault="003B5E4A" w:rsidP="00725D58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2048721570"/>
            <w:rPr>
              <w:color w:val="000000"/>
            </w:rPr>
          </w:pPr>
          <w:r w:rsidRPr="00AC0FDD">
            <w:rPr>
              <w:color w:val="000000"/>
            </w:rPr>
            <w:t>Lastly, the bill clarifies that electronic monitoring device information does not fall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under the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 xml:space="preserve">umbrella of </w:t>
          </w:r>
          <w:r>
            <w:rPr>
              <w:color w:val="000000"/>
            </w:rPr>
            <w:t xml:space="preserve"> "</w:t>
          </w:r>
          <w:r w:rsidRPr="00AC0FDD">
            <w:rPr>
              <w:color w:val="000000"/>
            </w:rPr>
            <w:t>judicial work product</w:t>
          </w:r>
          <w:r>
            <w:rPr>
              <w:color w:val="000000"/>
            </w:rPr>
            <w:t>"</w:t>
          </w:r>
          <w:r w:rsidRPr="00AC0FDD">
            <w:rPr>
              <w:color w:val="000000"/>
            </w:rPr>
            <w:t xml:space="preserve"> to ensure this information is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accessible.</w:t>
          </w:r>
        </w:p>
        <w:p w:rsidR="003B5E4A" w:rsidRDefault="003B5E4A" w:rsidP="00725D58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2048721570"/>
            <w:rPr>
              <w:color w:val="000000"/>
            </w:rPr>
          </w:pPr>
        </w:p>
        <w:p w:rsidR="003B5E4A" w:rsidRDefault="003B5E4A" w:rsidP="00725D58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2048721570"/>
            <w:rPr>
              <w:color w:val="000000"/>
            </w:rPr>
          </w:pPr>
          <w:r w:rsidRPr="00AC0FDD">
            <w:rPr>
              <w:color w:val="000000"/>
            </w:rPr>
            <w:t>The committee substitute changes the notification requirement to mandate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immediate reporting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upon a reasonable belief that a violation has occurred.</w:t>
          </w:r>
        </w:p>
        <w:p w:rsidR="003B5E4A" w:rsidRDefault="003B5E4A" w:rsidP="00725D58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2048721570"/>
            <w:rPr>
              <w:color w:val="000000"/>
            </w:rPr>
          </w:pPr>
        </w:p>
        <w:p w:rsidR="003B5E4A" w:rsidRPr="00AC0FDD" w:rsidRDefault="003B5E4A" w:rsidP="00725D58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2048721570"/>
            <w:rPr>
              <w:color w:val="000000"/>
            </w:rPr>
          </w:pPr>
          <w:r w:rsidRPr="00AC0FDD">
            <w:rPr>
              <w:color w:val="000000"/>
            </w:rPr>
            <w:t>Additionally, the committee substitute clarifies that the notification must be made to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the court or magistrate with jurisdiction over the case.</w:t>
          </w:r>
        </w:p>
        <w:p w:rsidR="003B5E4A" w:rsidRDefault="003B5E4A" w:rsidP="00725D58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2048721570"/>
            <w:rPr>
              <w:color w:val="000000"/>
            </w:rPr>
          </w:pPr>
        </w:p>
        <w:p w:rsidR="003B5E4A" w:rsidRPr="00AC0FDD" w:rsidRDefault="003B5E4A" w:rsidP="00725D58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2048721570"/>
            <w:rPr>
              <w:color w:val="000000"/>
            </w:rPr>
          </w:pPr>
          <w:r w:rsidRPr="00AC0FDD">
            <w:rPr>
              <w:color w:val="000000"/>
            </w:rPr>
            <w:t xml:space="preserve">The committee substitute grants </w:t>
          </w:r>
          <w:r>
            <w:rPr>
              <w:color w:val="000000"/>
            </w:rPr>
            <w:t>c</w:t>
          </w:r>
          <w:r w:rsidRPr="00AC0FDD">
            <w:rPr>
              <w:color w:val="000000"/>
            </w:rPr>
            <w:t xml:space="preserve">ommunity </w:t>
          </w:r>
          <w:r>
            <w:rPr>
              <w:color w:val="000000"/>
            </w:rPr>
            <w:t>s</w:t>
          </w:r>
          <w:r w:rsidRPr="00AC0FDD">
            <w:rPr>
              <w:color w:val="000000"/>
            </w:rPr>
            <w:t xml:space="preserve">upervision and </w:t>
          </w:r>
          <w:r>
            <w:rPr>
              <w:color w:val="000000"/>
            </w:rPr>
            <w:t>c</w:t>
          </w:r>
          <w:r w:rsidRPr="00AC0FDD">
            <w:rPr>
              <w:color w:val="000000"/>
            </w:rPr>
            <w:t>orrections</w:t>
          </w:r>
          <w:r>
            <w:rPr>
              <w:color w:val="000000"/>
            </w:rPr>
            <w:t xml:space="preserve"> d</w:t>
          </w:r>
          <w:r w:rsidRPr="00AC0FDD">
            <w:rPr>
              <w:color w:val="000000"/>
            </w:rPr>
            <w:t>epartments the authority to share the location information of a violating individual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with law enforcement.</w:t>
          </w:r>
        </w:p>
        <w:p w:rsidR="003B5E4A" w:rsidRDefault="003B5E4A" w:rsidP="00725D58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2048721570"/>
            <w:rPr>
              <w:color w:val="000000"/>
            </w:rPr>
          </w:pPr>
        </w:p>
        <w:p w:rsidR="003B5E4A" w:rsidRPr="00725D58" w:rsidRDefault="003B5E4A" w:rsidP="00725D58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2048721570"/>
          </w:pPr>
          <w:r w:rsidRPr="00AC0FDD">
            <w:rPr>
              <w:color w:val="000000"/>
            </w:rPr>
            <w:t>Lastly, the committee substitute expands the notification requirements to include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individuals released on a cash bond.</w:t>
          </w:r>
          <w:r w:rsidRPr="00725D58">
            <w:t>  </w:t>
          </w:r>
        </w:p>
        <w:p w:rsidR="003B5E4A" w:rsidRPr="00D70925" w:rsidRDefault="003B5E4A" w:rsidP="00725D58">
          <w:pPr>
            <w:shd w:val="clear" w:color="000000" w:fill="auto"/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3B5E4A" w:rsidRDefault="003B5E4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S.B. 1020 </w:t>
      </w:r>
      <w:bookmarkStart w:id="1" w:name="AmendsCurrentLaw"/>
      <w:bookmarkEnd w:id="1"/>
      <w:r>
        <w:rPr>
          <w:rFonts w:cs="Times New Roman"/>
          <w:szCs w:val="24"/>
        </w:rPr>
        <w:t xml:space="preserve">amends current law </w:t>
      </w:r>
      <w:r w:rsidRPr="005B2AD3">
        <w:rPr>
          <w:rFonts w:cs="Times New Roman"/>
          <w:szCs w:val="24"/>
        </w:rPr>
        <w:t>relating to personal bond offices, to the notification provided to a judge regarding tampering with an electronic monitoring device while released on bond or community supervision, and to the availability of certain information regarding a person required to submit to an electronic monitoring program</w:t>
      </w:r>
      <w:r>
        <w:rPr>
          <w:rFonts w:cs="Times New Roman"/>
          <w:szCs w:val="24"/>
        </w:rPr>
        <w:t xml:space="preserve"> or being supervised by a community supervision and corrections department.</w:t>
      </w:r>
    </w:p>
    <w:p w:rsidR="003B5E4A" w:rsidRPr="00725D58" w:rsidRDefault="003B5E4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B5E4A" w:rsidRPr="005C2A78" w:rsidRDefault="003B5E4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A237623531BE4084BA075894760036E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3B5E4A" w:rsidRPr="006529C4" w:rsidRDefault="003B5E4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3B5E4A" w:rsidRPr="006529C4" w:rsidRDefault="003B5E4A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3B5E4A" w:rsidRPr="006529C4" w:rsidRDefault="003B5E4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3B5E4A" w:rsidRPr="005C2A78" w:rsidRDefault="003B5E4A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813C310E0BE04A56B6250AB03B51BA3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3B5E4A" w:rsidRPr="005C2A78" w:rsidRDefault="003B5E4A" w:rsidP="003B5E4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B5E4A" w:rsidRPr="005B2AD3" w:rsidRDefault="003B5E4A" w:rsidP="003B5E4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B2AD3">
        <w:rPr>
          <w:rFonts w:eastAsia="Times New Roman" w:cs="Times New Roman"/>
          <w:szCs w:val="24"/>
        </w:rPr>
        <w:t>SECTION 1. Amends Sections 5(a) and (b), Article 17.42, Code of Criminal Procedure, as follows:</w:t>
      </w:r>
    </w:p>
    <w:p w:rsidR="003B5E4A" w:rsidRPr="005B2AD3" w:rsidRDefault="003B5E4A" w:rsidP="003B5E4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B5E4A" w:rsidRPr="005B2AD3" w:rsidRDefault="003B5E4A" w:rsidP="003B5E4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5B2AD3">
        <w:rPr>
          <w:rFonts w:eastAsia="Times New Roman" w:cs="Times New Roman"/>
          <w:szCs w:val="24"/>
        </w:rPr>
        <w:t>(a) Requires a personal bond pretrial release office established under Article 17.42 (Personal Bond Office) to take certain actions, including submitting a copy of the record containing information about any accused person identified by case number only who, after review by the officer, is released by a court on personal bond before sentencing in a pending case to the attorney representing the state and the accused person's attorney and, as applicable based on whether the accused person violated a condition of release on bond in the preceding month, an update to that record. Makes nonsubstantive changes.</w:t>
      </w:r>
    </w:p>
    <w:p w:rsidR="003B5E4A" w:rsidRPr="005B2AD3" w:rsidRDefault="003B5E4A" w:rsidP="003B5E4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B5E4A" w:rsidRPr="005C2A78" w:rsidRDefault="003B5E4A" w:rsidP="003B5E4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5B2AD3">
        <w:rPr>
          <w:rFonts w:eastAsia="Times New Roman" w:cs="Times New Roman"/>
          <w:szCs w:val="24"/>
        </w:rPr>
        <w:t>(b) Requires the office, in preparing a record under Subsection (a), to include in the record certain statements, including a statement of whether the person has failed to comply with conditions of release on personal bond, including failing to comply by tampering with an electronic monitoring device.</w:t>
      </w:r>
    </w:p>
    <w:p w:rsidR="003B5E4A" w:rsidRPr="005C2A78" w:rsidRDefault="003B5E4A" w:rsidP="003B5E4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B5E4A" w:rsidRDefault="003B5E4A" w:rsidP="003B5E4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 w:rsidRPr="005B2AD3">
        <w:t xml:space="preserve"> </w:t>
      </w:r>
      <w:r w:rsidRPr="005B2AD3">
        <w:rPr>
          <w:rFonts w:eastAsia="Times New Roman" w:cs="Times New Roman"/>
          <w:szCs w:val="24"/>
        </w:rPr>
        <w:t>Amends Chapter 17, Code of Criminal Procedure, by adding Article 17.431, as follows:</w:t>
      </w:r>
    </w:p>
    <w:p w:rsidR="003B5E4A" w:rsidRDefault="003B5E4A" w:rsidP="003B5E4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B5E4A" w:rsidRPr="005C2A78" w:rsidRDefault="003B5E4A" w:rsidP="003B5E4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Art. 17.431. NOTIFICATION BY PERSONAL BOND OFFICE REGARDING ELECTRONIC MONITORING DEVICE VIOLATION. Requires a personal bond office established under Article 17.42, immediately after the personal bond office determines there is reasonable cause to believe that a defendant supervised by the office has violated a condition of release on bond related to an electronic monitoring device, including a global positioning monitoring system as defined by Article 17.49 (Conditions for Defendant Charged With Offense Involving Family Violence), to notify the court or magistrate having jurisdiction over the case.</w:t>
      </w:r>
    </w:p>
    <w:p w:rsidR="003B5E4A" w:rsidRPr="005C2A78" w:rsidRDefault="003B5E4A" w:rsidP="003B5E4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B5E4A" w:rsidRDefault="003B5E4A" w:rsidP="003B5E4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Amends Chapter 17, Code of Criminal Procedure, by adding Article 17.442, as follows:</w:t>
      </w:r>
    </w:p>
    <w:p w:rsidR="003B5E4A" w:rsidRDefault="003B5E4A" w:rsidP="003B5E4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B5E4A" w:rsidRDefault="003B5E4A" w:rsidP="003B5E4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Art. 17.442. NOTIFICATION BY AGENCY SUPERVISING DEFENDANT REGARDING ELECTRONIC MONITORING DEVICE VIOLATION. Requires an agency designated by the magistrate to supervise a defendant's release on bond, other than personal bond, immediately after the agency determines there is reasonable cause to believe that the defendant has violated a condition of release on bond related to an electronic monitoring device, including a global positioning monitoring system as defined by Article 17.49, to notify the court or magistrate having jurisdiction over the case. </w:t>
      </w:r>
    </w:p>
    <w:p w:rsidR="003B5E4A" w:rsidRDefault="003B5E4A" w:rsidP="003B5E4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B5E4A" w:rsidRDefault="003B5E4A" w:rsidP="003B5E4A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4. Amends Subchapter P, Chapter 42A, Code of Criminal Procedure, by adding Article 42A.7515, as follows:</w:t>
      </w:r>
    </w:p>
    <w:p w:rsidR="003B5E4A" w:rsidRDefault="003B5E4A" w:rsidP="003B5E4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B5E4A" w:rsidRDefault="003B5E4A" w:rsidP="003B5E4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Art. 42A.7515. NOTIFICATION BY SUPERVISION OFFICER REGARDING ELECTRONIC MONITORING DEVICE VIOLATION. Requires a supervision officer, immediately after the supervision officer determines there is reasonable cause to believe that a defendant supervised by the officer has violated a condition of community supervision related to an electronic monitoring device, including a global positioning monitoring system as defined by Article 17.49, to notify the judge of that violation.</w:t>
      </w:r>
    </w:p>
    <w:p w:rsidR="003B5E4A" w:rsidRDefault="003B5E4A" w:rsidP="003B5E4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B5E4A" w:rsidRDefault="003B5E4A" w:rsidP="003B5E4A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5. </w:t>
      </w:r>
      <w:r w:rsidRPr="005B2AD3">
        <w:rPr>
          <w:rFonts w:eastAsia="Times New Roman" w:cs="Times New Roman"/>
          <w:szCs w:val="24"/>
        </w:rPr>
        <w:t>Amends Section 21.013(a)(1), Government Code, to redefine "judicial work product."</w:t>
      </w:r>
    </w:p>
    <w:p w:rsidR="003B5E4A" w:rsidRDefault="003B5E4A" w:rsidP="003B5E4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B5E4A" w:rsidRDefault="003B5E4A" w:rsidP="003B5E4A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6. Amends Section 76.019, Government Code, by adding Subsection (c), as follows:</w:t>
      </w:r>
    </w:p>
    <w:p w:rsidR="003B5E4A" w:rsidRDefault="003B5E4A" w:rsidP="003B5E4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B5E4A" w:rsidRDefault="003B5E4A" w:rsidP="003B5E4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(c) Authorizes a department to release data or information, including electronic monitoring data, reporting dates, contact information, family and collateral contacts, and addresses, related to the location of a person who is supervised by the department to law enforcement or the office of the attorney representing the state for the purpose of locating the person or serving a warrant.</w:t>
      </w:r>
    </w:p>
    <w:p w:rsidR="003B5E4A" w:rsidRDefault="003B5E4A" w:rsidP="003B5E4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B5E4A" w:rsidRDefault="003B5E4A" w:rsidP="003B5E4A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7. </w:t>
      </w:r>
      <w:r w:rsidRPr="005B2AD3">
        <w:rPr>
          <w:rFonts w:eastAsia="Times New Roman" w:cs="Times New Roman"/>
          <w:szCs w:val="24"/>
        </w:rPr>
        <w:t>Makes application of Articles 17.431</w:t>
      </w:r>
      <w:r>
        <w:rPr>
          <w:rFonts w:eastAsia="Times New Roman" w:cs="Times New Roman"/>
          <w:szCs w:val="24"/>
        </w:rPr>
        <w:t>, 17.442,</w:t>
      </w:r>
      <w:r w:rsidRPr="005B2AD3">
        <w:rPr>
          <w:rFonts w:eastAsia="Times New Roman" w:cs="Times New Roman"/>
          <w:szCs w:val="24"/>
        </w:rPr>
        <w:t xml:space="preserve"> and 42A.7515, Code of Criminal Procedure, as added by this Act, prospective.</w:t>
      </w:r>
    </w:p>
    <w:p w:rsidR="003B5E4A" w:rsidRDefault="003B5E4A" w:rsidP="003B5E4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B5E4A" w:rsidRPr="00C8671F" w:rsidRDefault="003B5E4A" w:rsidP="003B5E4A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8. Effective date: September 1, 2025.</w:t>
      </w:r>
    </w:p>
    <w:sectPr w:rsidR="003B5E4A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36D7" w:rsidRDefault="00B736D7" w:rsidP="000F1DF9">
      <w:pPr>
        <w:spacing w:after="0" w:line="240" w:lineRule="auto"/>
      </w:pPr>
      <w:r>
        <w:separator/>
      </w:r>
    </w:p>
  </w:endnote>
  <w:endnote w:type="continuationSeparator" w:id="0">
    <w:p w:rsidR="00B736D7" w:rsidRDefault="00B736D7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B736D7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3B5E4A">
                <w:rPr>
                  <w:sz w:val="20"/>
                  <w:szCs w:val="20"/>
                </w:rPr>
                <w:t>SGM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3B5E4A">
                <w:rPr>
                  <w:sz w:val="20"/>
                  <w:szCs w:val="20"/>
                </w:rPr>
                <w:t>S.B. 1020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3B5E4A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B736D7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36D7" w:rsidRDefault="00B736D7" w:rsidP="000F1DF9">
      <w:pPr>
        <w:spacing w:after="0" w:line="240" w:lineRule="auto"/>
      </w:pPr>
      <w:r>
        <w:separator/>
      </w:r>
    </w:p>
  </w:footnote>
  <w:footnote w:type="continuationSeparator" w:id="0">
    <w:p w:rsidR="00B736D7" w:rsidRDefault="00B736D7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B5E4A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8C0485"/>
    <w:rsid w:val="0093341F"/>
    <w:rsid w:val="009562E3"/>
    <w:rsid w:val="00986E9F"/>
    <w:rsid w:val="00AE3F44"/>
    <w:rsid w:val="00B43543"/>
    <w:rsid w:val="00B53F07"/>
    <w:rsid w:val="00B736D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9267B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93BB4"/>
  <w15:docId w15:val="{D1BF96FD-34EE-48AE-9A94-3FE83980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B5E4A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15E46A2EF962474ABA3A6C8A8DE71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2BE4C-BDB5-461D-98F3-8E585E8512D2}"/>
      </w:docPartPr>
      <w:docPartBody>
        <w:p w:rsidR="009427D9" w:rsidRDefault="009427D9"/>
      </w:docPartBody>
    </w:docPart>
    <w:docPart>
      <w:docPartPr>
        <w:name w:val="5823AE1FF03C4CA0959F278E41119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701A7-7A27-4C75-B107-5406F72F8F7A}"/>
      </w:docPartPr>
      <w:docPartBody>
        <w:p w:rsidR="009427D9" w:rsidRDefault="009427D9"/>
      </w:docPartBody>
    </w:docPart>
    <w:docPart>
      <w:docPartPr>
        <w:name w:val="B389A474BA3D4A25975BEF980DCDB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840BD-7032-437C-B964-46CECD7A048A}"/>
      </w:docPartPr>
      <w:docPartBody>
        <w:p w:rsidR="009427D9" w:rsidRDefault="009427D9"/>
      </w:docPartBody>
    </w:docPart>
    <w:docPart>
      <w:docPartPr>
        <w:name w:val="408A6E2272FE40F2B57B06B8FBDFE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0D878-9F08-40B4-A5CC-92E2B207C26B}"/>
      </w:docPartPr>
      <w:docPartBody>
        <w:p w:rsidR="009427D9" w:rsidRDefault="009427D9"/>
      </w:docPartBody>
    </w:docPart>
    <w:docPart>
      <w:docPartPr>
        <w:name w:val="A2C45C060CCC4E3181C237844614B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5FE18-2B43-415A-994F-C9DFA760892D}"/>
      </w:docPartPr>
      <w:docPartBody>
        <w:p w:rsidR="009427D9" w:rsidRDefault="009427D9"/>
      </w:docPartBody>
    </w:docPart>
    <w:docPart>
      <w:docPartPr>
        <w:name w:val="EF94F56E70814AEBA28234DB71C8B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4C000-4B10-4EA9-9F8C-AAF2E4F59699}"/>
      </w:docPartPr>
      <w:docPartBody>
        <w:p w:rsidR="009427D9" w:rsidRDefault="009427D9"/>
      </w:docPartBody>
    </w:docPart>
    <w:docPart>
      <w:docPartPr>
        <w:name w:val="FA57EB4BBDC84492824B161740D82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6F22-CE38-4248-BA93-0E0BE3C3D6EB}"/>
      </w:docPartPr>
      <w:docPartBody>
        <w:p w:rsidR="009427D9" w:rsidRDefault="009427D9"/>
      </w:docPartBody>
    </w:docPart>
    <w:docPart>
      <w:docPartPr>
        <w:name w:val="05119A3E59AA40A58E23D81158A7D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BADBD-4DE7-4440-9334-CFE98E679B32}"/>
      </w:docPartPr>
      <w:docPartBody>
        <w:p w:rsidR="009427D9" w:rsidRDefault="009427D9"/>
      </w:docPartBody>
    </w:docPart>
    <w:docPart>
      <w:docPartPr>
        <w:name w:val="279DA67B90614ABD8456F912FFA56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EFE4B-CDB4-472C-AC65-6F4F9C49BA1C}"/>
      </w:docPartPr>
      <w:docPartBody>
        <w:p w:rsidR="009427D9" w:rsidRDefault="009427D9"/>
      </w:docPartBody>
    </w:docPart>
    <w:docPart>
      <w:docPartPr>
        <w:name w:val="D4584071E2BB4822AADF2D02D38FA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DC22D-BE9F-48F8-805E-7809A45AA39C}"/>
      </w:docPartPr>
      <w:docPartBody>
        <w:p w:rsidR="009427D9" w:rsidRDefault="00726310" w:rsidP="00726310">
          <w:pPr>
            <w:pStyle w:val="D4584071E2BB4822AADF2D02D38FA426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8A8FC1CD868440A49E9625091B608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D36E3-203E-4045-BE34-3A49116AFCF4}"/>
      </w:docPartPr>
      <w:docPartBody>
        <w:p w:rsidR="009427D9" w:rsidRDefault="009427D9"/>
      </w:docPartBody>
    </w:docPart>
    <w:docPart>
      <w:docPartPr>
        <w:name w:val="3F079C6DE8EA4B339F2EEF11CD26D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3A50D-3D4D-4708-AF2A-34D4138B2FB1}"/>
      </w:docPartPr>
      <w:docPartBody>
        <w:p w:rsidR="009427D9" w:rsidRDefault="009427D9"/>
      </w:docPartBody>
    </w:docPart>
    <w:docPart>
      <w:docPartPr>
        <w:name w:val="1F01FF1664EA42C0860104AEBB570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95819-79D5-49FF-9BF6-37B88FC6C8DE}"/>
      </w:docPartPr>
      <w:docPartBody>
        <w:p w:rsidR="009427D9" w:rsidRDefault="00726310" w:rsidP="00726310">
          <w:pPr>
            <w:pStyle w:val="1F01FF1664EA42C0860104AEBB570456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A237623531BE4084BA07589476003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A2704-CF6F-44E8-9612-C00E60EB2364}"/>
      </w:docPartPr>
      <w:docPartBody>
        <w:p w:rsidR="009427D9" w:rsidRDefault="009427D9"/>
      </w:docPartBody>
    </w:docPart>
    <w:docPart>
      <w:docPartPr>
        <w:name w:val="813C310E0BE04A56B6250AB03B51B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A3C80-F2E3-4E6A-A812-9D380729F814}"/>
      </w:docPartPr>
      <w:docPartBody>
        <w:p w:rsidR="009427D9" w:rsidRDefault="009427D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726310"/>
    <w:rsid w:val="008C0485"/>
    <w:rsid w:val="008C55F7"/>
    <w:rsid w:val="0090598B"/>
    <w:rsid w:val="009427D9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310"/>
    <w:rPr>
      <w:color w:val="808080"/>
    </w:rPr>
  </w:style>
  <w:style w:type="paragraph" w:customStyle="1" w:styleId="D4584071E2BB4822AADF2D02D38FA426">
    <w:name w:val="D4584071E2BB4822AADF2D02D38FA426"/>
    <w:rsid w:val="0072631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F01FF1664EA42C0860104AEBB570456">
    <w:name w:val="1F01FF1664EA42C0860104AEBB570456"/>
    <w:rsid w:val="0072631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949</Words>
  <Characters>5411</Characters>
  <Application>Microsoft Office Word</Application>
  <DocSecurity>0</DocSecurity>
  <Lines>45</Lines>
  <Paragraphs>12</Paragraphs>
  <ScaleCrop>false</ScaleCrop>
  <Company>Texas Legislative Council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Sidney McKeand</cp:lastModifiedBy>
  <cp:revision>161</cp:revision>
  <cp:lastPrinted>2025-06-10T17:37:00Z</cp:lastPrinted>
  <dcterms:created xsi:type="dcterms:W3CDTF">2015-05-29T14:24:00Z</dcterms:created>
  <dcterms:modified xsi:type="dcterms:W3CDTF">2025-06-10T17:37:00Z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