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87441" w14:paraId="17E2AC69" w14:textId="77777777" w:rsidTr="00345119">
        <w:tc>
          <w:tcPr>
            <w:tcW w:w="9576" w:type="dxa"/>
            <w:noWrap/>
          </w:tcPr>
          <w:p w14:paraId="44089255" w14:textId="77777777" w:rsidR="008423E4" w:rsidRPr="0022177D" w:rsidRDefault="00A0693F" w:rsidP="005E4853">
            <w:pPr>
              <w:pStyle w:val="Heading1"/>
            </w:pPr>
            <w:r w:rsidRPr="00631897">
              <w:t>BILL ANALYSIS</w:t>
            </w:r>
          </w:p>
        </w:tc>
      </w:tr>
    </w:tbl>
    <w:p w14:paraId="6DFCF057" w14:textId="77777777" w:rsidR="008423E4" w:rsidRPr="0022177D" w:rsidRDefault="008423E4" w:rsidP="005E4853">
      <w:pPr>
        <w:jc w:val="center"/>
      </w:pPr>
    </w:p>
    <w:p w14:paraId="1B9D1C4A" w14:textId="77777777" w:rsidR="008423E4" w:rsidRPr="00B31F0E" w:rsidRDefault="008423E4" w:rsidP="005E4853"/>
    <w:p w14:paraId="7552FEE6" w14:textId="77777777" w:rsidR="008423E4" w:rsidRPr="00742794" w:rsidRDefault="008423E4" w:rsidP="005E4853">
      <w:pPr>
        <w:tabs>
          <w:tab w:val="right" w:pos="9360"/>
        </w:tabs>
      </w:pPr>
    </w:p>
    <w:tbl>
      <w:tblPr>
        <w:tblW w:w="0" w:type="auto"/>
        <w:tblLayout w:type="fixed"/>
        <w:tblLook w:val="01E0" w:firstRow="1" w:lastRow="1" w:firstColumn="1" w:lastColumn="1" w:noHBand="0" w:noVBand="0"/>
      </w:tblPr>
      <w:tblGrid>
        <w:gridCol w:w="9576"/>
      </w:tblGrid>
      <w:tr w:rsidR="00287441" w14:paraId="69D90EA4" w14:textId="77777777" w:rsidTr="00345119">
        <w:tc>
          <w:tcPr>
            <w:tcW w:w="9576" w:type="dxa"/>
          </w:tcPr>
          <w:p w14:paraId="0C09AA5B" w14:textId="195D7CA6" w:rsidR="008423E4" w:rsidRPr="00861995" w:rsidRDefault="00A0693F" w:rsidP="005E4853">
            <w:pPr>
              <w:jc w:val="right"/>
            </w:pPr>
            <w:r>
              <w:t>C.S.S.B. 1035</w:t>
            </w:r>
          </w:p>
        </w:tc>
      </w:tr>
      <w:tr w:rsidR="00287441" w14:paraId="574E5BDF" w14:textId="77777777" w:rsidTr="00345119">
        <w:tc>
          <w:tcPr>
            <w:tcW w:w="9576" w:type="dxa"/>
          </w:tcPr>
          <w:p w14:paraId="4713A283" w14:textId="447A0D50" w:rsidR="008423E4" w:rsidRPr="00861995" w:rsidRDefault="00A0693F" w:rsidP="005E4853">
            <w:pPr>
              <w:jc w:val="right"/>
            </w:pPr>
            <w:r>
              <w:t xml:space="preserve">By: </w:t>
            </w:r>
            <w:r w:rsidR="00F95882">
              <w:t>Sparks</w:t>
            </w:r>
          </w:p>
        </w:tc>
      </w:tr>
      <w:tr w:rsidR="00287441" w14:paraId="262168D7" w14:textId="77777777" w:rsidTr="00345119">
        <w:tc>
          <w:tcPr>
            <w:tcW w:w="9576" w:type="dxa"/>
          </w:tcPr>
          <w:p w14:paraId="74276382" w14:textId="3283A3D4" w:rsidR="008423E4" w:rsidRPr="00861995" w:rsidRDefault="00A0693F" w:rsidP="005E4853">
            <w:pPr>
              <w:jc w:val="right"/>
            </w:pPr>
            <w:r>
              <w:t>Agriculture &amp; Livestock</w:t>
            </w:r>
          </w:p>
        </w:tc>
      </w:tr>
      <w:tr w:rsidR="00287441" w14:paraId="5A72891B" w14:textId="77777777" w:rsidTr="00345119">
        <w:tc>
          <w:tcPr>
            <w:tcW w:w="9576" w:type="dxa"/>
          </w:tcPr>
          <w:p w14:paraId="6ABFC842" w14:textId="60564826" w:rsidR="008423E4" w:rsidRDefault="00A0693F" w:rsidP="005E4853">
            <w:pPr>
              <w:jc w:val="right"/>
            </w:pPr>
            <w:r>
              <w:t>Committee Report (Substituted)</w:t>
            </w:r>
          </w:p>
        </w:tc>
      </w:tr>
    </w:tbl>
    <w:p w14:paraId="7702B7AF" w14:textId="77777777" w:rsidR="008423E4" w:rsidRDefault="008423E4" w:rsidP="005E4853">
      <w:pPr>
        <w:tabs>
          <w:tab w:val="right" w:pos="9360"/>
        </w:tabs>
      </w:pPr>
    </w:p>
    <w:p w14:paraId="3E4D9D79" w14:textId="77777777" w:rsidR="008423E4" w:rsidRDefault="008423E4" w:rsidP="005E4853"/>
    <w:p w14:paraId="429F102F" w14:textId="77777777" w:rsidR="008423E4" w:rsidRDefault="008423E4" w:rsidP="005E4853"/>
    <w:tbl>
      <w:tblPr>
        <w:tblW w:w="0" w:type="auto"/>
        <w:tblCellMar>
          <w:left w:w="115" w:type="dxa"/>
          <w:right w:w="115" w:type="dxa"/>
        </w:tblCellMar>
        <w:tblLook w:val="01E0" w:firstRow="1" w:lastRow="1" w:firstColumn="1" w:lastColumn="1" w:noHBand="0" w:noVBand="0"/>
      </w:tblPr>
      <w:tblGrid>
        <w:gridCol w:w="9360"/>
      </w:tblGrid>
      <w:tr w:rsidR="00287441" w14:paraId="4BBF5989" w14:textId="77777777" w:rsidTr="00E35806">
        <w:tc>
          <w:tcPr>
            <w:tcW w:w="9360" w:type="dxa"/>
          </w:tcPr>
          <w:p w14:paraId="6B3CC41F" w14:textId="77777777" w:rsidR="008423E4" w:rsidRPr="00A8133F" w:rsidRDefault="00A0693F" w:rsidP="005E4853">
            <w:pPr>
              <w:rPr>
                <w:b/>
              </w:rPr>
            </w:pPr>
            <w:r w:rsidRPr="009C1E9A">
              <w:rPr>
                <w:b/>
                <w:u w:val="single"/>
              </w:rPr>
              <w:t>BACKGROUND AND PURPOSE</w:t>
            </w:r>
            <w:r>
              <w:rPr>
                <w:b/>
              </w:rPr>
              <w:t xml:space="preserve"> </w:t>
            </w:r>
          </w:p>
          <w:p w14:paraId="153CCC6E" w14:textId="77777777" w:rsidR="008423E4" w:rsidRPr="00E35806" w:rsidRDefault="008423E4" w:rsidP="005E4853">
            <w:pPr>
              <w:rPr>
                <w:sz w:val="16"/>
                <w:szCs w:val="16"/>
              </w:rPr>
            </w:pPr>
          </w:p>
          <w:p w14:paraId="587B527B" w14:textId="0F65E6CF" w:rsidR="008423E4" w:rsidRDefault="00A0693F" w:rsidP="005E4853">
            <w:pPr>
              <w:pStyle w:val="Header"/>
              <w:tabs>
                <w:tab w:val="clear" w:pos="4320"/>
                <w:tab w:val="clear" w:pos="8640"/>
              </w:tabs>
              <w:jc w:val="both"/>
            </w:pPr>
            <w:r>
              <w:t xml:space="preserve">The bill </w:t>
            </w:r>
            <w:r w:rsidR="00E35806">
              <w:t>sponsor</w:t>
            </w:r>
            <w:r>
              <w:t xml:space="preserve"> has informed the committee that despite existing protections under the state's right to farm laws, agricultural operators have reported instances where local governments, particularly municipalities, have enforced regulations that hinder standard agricultural practices. </w:t>
            </w:r>
            <w:r w:rsidR="00A62A34">
              <w:t xml:space="preserve">The bill </w:t>
            </w:r>
            <w:r w:rsidR="00E35806">
              <w:t>sponsor</w:t>
            </w:r>
            <w:r w:rsidR="00A62A34">
              <w:t xml:space="preserve"> has also informed the committee that t</w:t>
            </w:r>
            <w:r>
              <w:t>hese regulations can include restrictive zoning laws, limitations on farming activities, and other ordinances that adversely affect farming and ranching operations</w:t>
            </w:r>
            <w:r w:rsidR="00A62A34">
              <w:t>, which</w:t>
            </w:r>
            <w:r>
              <w:t xml:space="preserve"> may threaten t</w:t>
            </w:r>
            <w:r>
              <w:t xml:space="preserve">he viability of agricultural enterprises and lead to economic challenges and potential loss of agricultural land. C.S.S.B. 1035 seeks to address this issue by providing a right of action for </w:t>
            </w:r>
            <w:r w:rsidRPr="00827E13">
              <w:t>a person aggrieved by a political subdivision's enforcement of a governmental requirement affecting certain agricultural operations in violation of applicable state law</w:t>
            </w:r>
            <w:r>
              <w:t xml:space="preserve"> and authorizing a person who prevails in such an action to recover court costs and reasonable attorney's fees.</w:t>
            </w:r>
          </w:p>
          <w:p w14:paraId="0E180D35" w14:textId="77777777" w:rsidR="008423E4" w:rsidRPr="00E35806" w:rsidRDefault="008423E4" w:rsidP="005E4853">
            <w:pPr>
              <w:rPr>
                <w:b/>
                <w:sz w:val="16"/>
                <w:szCs w:val="16"/>
              </w:rPr>
            </w:pPr>
          </w:p>
        </w:tc>
      </w:tr>
      <w:tr w:rsidR="00287441" w14:paraId="60166C5D" w14:textId="77777777" w:rsidTr="00E35806">
        <w:tc>
          <w:tcPr>
            <w:tcW w:w="9360" w:type="dxa"/>
          </w:tcPr>
          <w:p w14:paraId="06DAA7DA" w14:textId="77777777" w:rsidR="0017725B" w:rsidRDefault="00A0693F" w:rsidP="005E4853">
            <w:pPr>
              <w:rPr>
                <w:b/>
                <w:u w:val="single"/>
              </w:rPr>
            </w:pPr>
            <w:r>
              <w:rPr>
                <w:b/>
                <w:u w:val="single"/>
              </w:rPr>
              <w:t>CRIMINAL JUSTICE IMPACT</w:t>
            </w:r>
          </w:p>
          <w:p w14:paraId="0D6609D3" w14:textId="77777777" w:rsidR="0017725B" w:rsidRPr="00E35806" w:rsidRDefault="0017725B" w:rsidP="005E4853">
            <w:pPr>
              <w:rPr>
                <w:b/>
                <w:sz w:val="16"/>
                <w:szCs w:val="16"/>
                <w:u w:val="single"/>
              </w:rPr>
            </w:pPr>
          </w:p>
          <w:p w14:paraId="1E939CE6" w14:textId="3C7EB523" w:rsidR="0017725B" w:rsidRPr="00B20CAD" w:rsidRDefault="00A0693F" w:rsidP="005E4853">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1FF6F4B4" w14:textId="77777777" w:rsidR="0017725B" w:rsidRPr="00E35806" w:rsidRDefault="0017725B" w:rsidP="005E4853">
            <w:pPr>
              <w:rPr>
                <w:b/>
                <w:sz w:val="16"/>
                <w:szCs w:val="16"/>
                <w:u w:val="single"/>
              </w:rPr>
            </w:pPr>
          </w:p>
        </w:tc>
      </w:tr>
      <w:tr w:rsidR="00287441" w14:paraId="54E5C557" w14:textId="77777777" w:rsidTr="00E35806">
        <w:tc>
          <w:tcPr>
            <w:tcW w:w="9360" w:type="dxa"/>
          </w:tcPr>
          <w:p w14:paraId="574816DB" w14:textId="77777777" w:rsidR="008423E4" w:rsidRPr="00A8133F" w:rsidRDefault="00A0693F" w:rsidP="005E4853">
            <w:pPr>
              <w:rPr>
                <w:b/>
              </w:rPr>
            </w:pPr>
            <w:r w:rsidRPr="009C1E9A">
              <w:rPr>
                <w:b/>
                <w:u w:val="single"/>
              </w:rPr>
              <w:t>RULEMAKING AUTHORITY</w:t>
            </w:r>
            <w:r>
              <w:rPr>
                <w:b/>
              </w:rPr>
              <w:t xml:space="preserve"> </w:t>
            </w:r>
          </w:p>
          <w:p w14:paraId="03A1BF0E" w14:textId="77777777" w:rsidR="008423E4" w:rsidRPr="00E35806" w:rsidRDefault="008423E4" w:rsidP="005E4853">
            <w:pPr>
              <w:rPr>
                <w:sz w:val="16"/>
                <w:szCs w:val="16"/>
              </w:rPr>
            </w:pPr>
          </w:p>
          <w:p w14:paraId="6F2B3A59" w14:textId="0FAD933F" w:rsidR="008423E4" w:rsidRDefault="00A0693F" w:rsidP="005E4853">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86A665C" w14:textId="77777777" w:rsidR="008423E4" w:rsidRPr="00E35806" w:rsidRDefault="008423E4" w:rsidP="005E4853">
            <w:pPr>
              <w:rPr>
                <w:b/>
                <w:sz w:val="16"/>
                <w:szCs w:val="16"/>
              </w:rPr>
            </w:pPr>
          </w:p>
        </w:tc>
      </w:tr>
      <w:tr w:rsidR="00287441" w14:paraId="6DC64EF5" w14:textId="77777777" w:rsidTr="00E35806">
        <w:tc>
          <w:tcPr>
            <w:tcW w:w="9360" w:type="dxa"/>
          </w:tcPr>
          <w:p w14:paraId="0DD0865B" w14:textId="77777777" w:rsidR="008423E4" w:rsidRPr="00A8133F" w:rsidRDefault="00A0693F" w:rsidP="005E4853">
            <w:pPr>
              <w:rPr>
                <w:b/>
              </w:rPr>
            </w:pPr>
            <w:r w:rsidRPr="009C1E9A">
              <w:rPr>
                <w:b/>
                <w:u w:val="single"/>
              </w:rPr>
              <w:t>ANALYSIS</w:t>
            </w:r>
            <w:r>
              <w:rPr>
                <w:b/>
              </w:rPr>
              <w:t xml:space="preserve"> </w:t>
            </w:r>
          </w:p>
          <w:p w14:paraId="13BF0C2E" w14:textId="77777777" w:rsidR="008423E4" w:rsidRPr="00E35806" w:rsidRDefault="008423E4" w:rsidP="005E4853">
            <w:pPr>
              <w:rPr>
                <w:sz w:val="16"/>
                <w:szCs w:val="16"/>
              </w:rPr>
            </w:pPr>
          </w:p>
          <w:p w14:paraId="245A4271" w14:textId="77777777" w:rsidR="00F95882" w:rsidRDefault="00A0693F" w:rsidP="005E4853">
            <w:pPr>
              <w:pStyle w:val="Header"/>
              <w:tabs>
                <w:tab w:val="clear" w:pos="4320"/>
                <w:tab w:val="clear" w:pos="8640"/>
              </w:tabs>
              <w:jc w:val="both"/>
            </w:pPr>
            <w:r>
              <w:t xml:space="preserve">C.S.S.B. 1035 amends the </w:t>
            </w:r>
            <w:r w:rsidRPr="00CF0485">
              <w:t>Agriculture Code</w:t>
            </w:r>
            <w:r>
              <w:t xml:space="preserve"> to authorize </w:t>
            </w:r>
            <w:r w:rsidRPr="00660F8B">
              <w:t xml:space="preserve">a person aggrieved by </w:t>
            </w:r>
            <w:r>
              <w:t>a</w:t>
            </w:r>
            <w:r w:rsidRPr="00660F8B">
              <w:t xml:space="preserve"> </w:t>
            </w:r>
            <w:r>
              <w:t xml:space="preserve">political subdivision's enforcement of a governmental requirement affecting certain agricultural operations in </w:t>
            </w:r>
            <w:r w:rsidRPr="00660F8B">
              <w:t>violation</w:t>
            </w:r>
            <w:r>
              <w:t xml:space="preserve"> of applicable state law to bring an action against the political subdivision to obtain declaratory and injunctive relief to block the enforcement of the governmental requirement. The bill authorizes a person who prevails in such an action to recover court costs and reasonable attorney's fees.</w:t>
            </w:r>
          </w:p>
          <w:p w14:paraId="35B3B388" w14:textId="77777777" w:rsidR="00F95882" w:rsidRPr="00E35806" w:rsidRDefault="00F95882" w:rsidP="005E4853">
            <w:pPr>
              <w:pStyle w:val="Header"/>
              <w:tabs>
                <w:tab w:val="clear" w:pos="4320"/>
                <w:tab w:val="clear" w:pos="8640"/>
              </w:tabs>
              <w:jc w:val="both"/>
              <w:rPr>
                <w:sz w:val="16"/>
                <w:szCs w:val="16"/>
              </w:rPr>
            </w:pPr>
          </w:p>
          <w:p w14:paraId="23430041" w14:textId="49FB3103" w:rsidR="009C36CD" w:rsidRPr="009C36CD" w:rsidRDefault="00A0693F" w:rsidP="005E4853">
            <w:pPr>
              <w:pStyle w:val="Header"/>
              <w:tabs>
                <w:tab w:val="clear" w:pos="4320"/>
                <w:tab w:val="clear" w:pos="8640"/>
              </w:tabs>
              <w:jc w:val="both"/>
            </w:pPr>
            <w:r>
              <w:t xml:space="preserve">C.S.S.B. 1035 </w:t>
            </w:r>
            <w:r w:rsidRPr="00660F8B">
              <w:t>applies only to a cause of action that accrues on or after the</w:t>
            </w:r>
            <w:r>
              <w:t xml:space="preserve"> bill's</w:t>
            </w:r>
            <w:r w:rsidRPr="00660F8B">
              <w:t xml:space="preserve"> effective date.</w:t>
            </w:r>
          </w:p>
          <w:p w14:paraId="5C6D7249" w14:textId="77777777" w:rsidR="008423E4" w:rsidRPr="00E35806" w:rsidRDefault="008423E4" w:rsidP="005E4853">
            <w:pPr>
              <w:rPr>
                <w:b/>
                <w:sz w:val="16"/>
                <w:szCs w:val="16"/>
              </w:rPr>
            </w:pPr>
          </w:p>
        </w:tc>
      </w:tr>
      <w:tr w:rsidR="00287441" w14:paraId="5637800E" w14:textId="77777777" w:rsidTr="00E35806">
        <w:tc>
          <w:tcPr>
            <w:tcW w:w="9360" w:type="dxa"/>
          </w:tcPr>
          <w:p w14:paraId="6BCFF12E" w14:textId="77777777" w:rsidR="008423E4" w:rsidRPr="00A8133F" w:rsidRDefault="00A0693F" w:rsidP="005E4853">
            <w:pPr>
              <w:rPr>
                <w:b/>
              </w:rPr>
            </w:pPr>
            <w:r w:rsidRPr="009C1E9A">
              <w:rPr>
                <w:b/>
                <w:u w:val="single"/>
              </w:rPr>
              <w:t>EFFECTIVE DATE</w:t>
            </w:r>
            <w:r>
              <w:rPr>
                <w:b/>
              </w:rPr>
              <w:t xml:space="preserve"> </w:t>
            </w:r>
          </w:p>
          <w:p w14:paraId="23646C5F" w14:textId="77777777" w:rsidR="008423E4" w:rsidRPr="00E35806" w:rsidRDefault="008423E4" w:rsidP="005E4853">
            <w:pPr>
              <w:rPr>
                <w:sz w:val="16"/>
                <w:szCs w:val="16"/>
              </w:rPr>
            </w:pPr>
          </w:p>
          <w:p w14:paraId="5E9E3953" w14:textId="4041D789" w:rsidR="008423E4" w:rsidRPr="003624F2" w:rsidRDefault="00A0693F" w:rsidP="005E4853">
            <w:pPr>
              <w:pStyle w:val="Header"/>
              <w:tabs>
                <w:tab w:val="clear" w:pos="4320"/>
                <w:tab w:val="clear" w:pos="8640"/>
              </w:tabs>
              <w:jc w:val="both"/>
            </w:pPr>
            <w:r>
              <w:t>On passage, or, if the bill does not receive the necessary vote, September 1, 2025.</w:t>
            </w:r>
          </w:p>
          <w:p w14:paraId="770A038F" w14:textId="77777777" w:rsidR="008423E4" w:rsidRPr="00E35806" w:rsidRDefault="008423E4" w:rsidP="005E4853">
            <w:pPr>
              <w:rPr>
                <w:b/>
                <w:sz w:val="16"/>
                <w:szCs w:val="16"/>
              </w:rPr>
            </w:pPr>
          </w:p>
        </w:tc>
      </w:tr>
      <w:tr w:rsidR="00287441" w14:paraId="420009AC" w14:textId="77777777" w:rsidTr="00E35806">
        <w:tc>
          <w:tcPr>
            <w:tcW w:w="9360" w:type="dxa"/>
          </w:tcPr>
          <w:p w14:paraId="0F0B6DA5" w14:textId="77777777" w:rsidR="00F95882" w:rsidRDefault="00A0693F" w:rsidP="005E4853">
            <w:pPr>
              <w:jc w:val="both"/>
              <w:rPr>
                <w:b/>
                <w:u w:val="single"/>
              </w:rPr>
            </w:pPr>
            <w:r>
              <w:rPr>
                <w:b/>
                <w:u w:val="single"/>
              </w:rPr>
              <w:t>COMPARISON OF SENATE ENGROSSED AND SUBSTITUTE</w:t>
            </w:r>
          </w:p>
          <w:p w14:paraId="08D44F24" w14:textId="77777777" w:rsidR="00F95882" w:rsidRPr="00E35806" w:rsidRDefault="00F95882" w:rsidP="005E4853">
            <w:pPr>
              <w:jc w:val="both"/>
              <w:rPr>
                <w:sz w:val="16"/>
                <w:szCs w:val="16"/>
              </w:rPr>
            </w:pPr>
          </w:p>
          <w:p w14:paraId="3C053262" w14:textId="705ED6FC" w:rsidR="00F95882" w:rsidRDefault="00A0693F" w:rsidP="005E4853">
            <w:pPr>
              <w:jc w:val="both"/>
            </w:pPr>
            <w:r>
              <w:t>While C.S.S.B. 1035 may differ from the engrossed in minor or nonsubstantive ways, the following summarizes the substantial differences between the engrossed and committee substitute versions of the bill.</w:t>
            </w:r>
          </w:p>
          <w:p w14:paraId="6D442CED" w14:textId="77777777" w:rsidR="00F95882" w:rsidRPr="00E35806" w:rsidRDefault="00F95882" w:rsidP="005E4853">
            <w:pPr>
              <w:jc w:val="both"/>
              <w:rPr>
                <w:sz w:val="16"/>
                <w:szCs w:val="16"/>
              </w:rPr>
            </w:pPr>
          </w:p>
          <w:p w14:paraId="1F274EA0" w14:textId="2C8FE46C" w:rsidR="00F95882" w:rsidRPr="00F95882" w:rsidRDefault="00A0693F" w:rsidP="005E4853">
            <w:pPr>
              <w:jc w:val="both"/>
            </w:pPr>
            <w:r>
              <w:t xml:space="preserve">Whereas the </w:t>
            </w:r>
            <w:r w:rsidR="00A62A34">
              <w:t>engrossed</w:t>
            </w:r>
            <w:r>
              <w:t xml:space="preserve"> provided for the aggrieved person to obtain either </w:t>
            </w:r>
            <w:r w:rsidRPr="002E6BAD">
              <w:t>declaratory or injunctive relief</w:t>
            </w:r>
            <w:r>
              <w:t xml:space="preserve">, the substitute provides for the person to obtain both </w:t>
            </w:r>
            <w:r w:rsidRPr="002E6BAD">
              <w:t>declaratory and injunctive relief</w:t>
            </w:r>
            <w:r>
              <w:t>.</w:t>
            </w:r>
          </w:p>
        </w:tc>
      </w:tr>
    </w:tbl>
    <w:p w14:paraId="5521A2CD" w14:textId="77777777" w:rsidR="004108C3" w:rsidRPr="00E35806" w:rsidRDefault="004108C3" w:rsidP="005E4853">
      <w:pPr>
        <w:rPr>
          <w:sz w:val="10"/>
          <w:szCs w:val="10"/>
        </w:rPr>
      </w:pPr>
    </w:p>
    <w:sectPr w:rsidR="004108C3" w:rsidRPr="00E35806"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B4D4" w14:textId="77777777" w:rsidR="00A0693F" w:rsidRDefault="00A0693F">
      <w:r>
        <w:separator/>
      </w:r>
    </w:p>
  </w:endnote>
  <w:endnote w:type="continuationSeparator" w:id="0">
    <w:p w14:paraId="775E0B1C" w14:textId="77777777" w:rsidR="00A0693F" w:rsidRDefault="00A0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9E74"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87441" w14:paraId="6A062E06" w14:textId="77777777" w:rsidTr="009C1E9A">
      <w:trPr>
        <w:cantSplit/>
      </w:trPr>
      <w:tc>
        <w:tcPr>
          <w:tcW w:w="0" w:type="pct"/>
        </w:tcPr>
        <w:p w14:paraId="68D7CFFE" w14:textId="77777777" w:rsidR="00137D90" w:rsidRDefault="00137D90" w:rsidP="009C1E9A">
          <w:pPr>
            <w:pStyle w:val="Footer"/>
            <w:tabs>
              <w:tab w:val="clear" w:pos="8640"/>
              <w:tab w:val="right" w:pos="9360"/>
            </w:tabs>
          </w:pPr>
        </w:p>
      </w:tc>
      <w:tc>
        <w:tcPr>
          <w:tcW w:w="2395" w:type="pct"/>
        </w:tcPr>
        <w:p w14:paraId="3A534234" w14:textId="77777777" w:rsidR="00137D90" w:rsidRDefault="00137D90" w:rsidP="009C1E9A">
          <w:pPr>
            <w:pStyle w:val="Footer"/>
            <w:tabs>
              <w:tab w:val="clear" w:pos="8640"/>
              <w:tab w:val="right" w:pos="9360"/>
            </w:tabs>
          </w:pPr>
        </w:p>
        <w:p w14:paraId="271F9331" w14:textId="77777777" w:rsidR="001A4310" w:rsidRDefault="001A4310" w:rsidP="009C1E9A">
          <w:pPr>
            <w:pStyle w:val="Footer"/>
            <w:tabs>
              <w:tab w:val="clear" w:pos="8640"/>
              <w:tab w:val="right" w:pos="9360"/>
            </w:tabs>
          </w:pPr>
        </w:p>
        <w:p w14:paraId="015E9187" w14:textId="77777777" w:rsidR="00137D90" w:rsidRDefault="00137D90" w:rsidP="009C1E9A">
          <w:pPr>
            <w:pStyle w:val="Footer"/>
            <w:tabs>
              <w:tab w:val="clear" w:pos="8640"/>
              <w:tab w:val="right" w:pos="9360"/>
            </w:tabs>
          </w:pPr>
        </w:p>
      </w:tc>
      <w:tc>
        <w:tcPr>
          <w:tcW w:w="2453" w:type="pct"/>
        </w:tcPr>
        <w:p w14:paraId="2401898A" w14:textId="77777777" w:rsidR="00137D90" w:rsidRDefault="00137D90" w:rsidP="009C1E9A">
          <w:pPr>
            <w:pStyle w:val="Footer"/>
            <w:tabs>
              <w:tab w:val="clear" w:pos="8640"/>
              <w:tab w:val="right" w:pos="9360"/>
            </w:tabs>
            <w:jc w:val="right"/>
          </w:pPr>
        </w:p>
      </w:tc>
    </w:tr>
    <w:tr w:rsidR="00287441" w14:paraId="6BFB2DA8" w14:textId="77777777" w:rsidTr="009C1E9A">
      <w:trPr>
        <w:cantSplit/>
      </w:trPr>
      <w:tc>
        <w:tcPr>
          <w:tcW w:w="0" w:type="pct"/>
        </w:tcPr>
        <w:p w14:paraId="0A209F0C" w14:textId="77777777" w:rsidR="00EC379B" w:rsidRDefault="00EC379B" w:rsidP="009C1E9A">
          <w:pPr>
            <w:pStyle w:val="Footer"/>
            <w:tabs>
              <w:tab w:val="clear" w:pos="8640"/>
              <w:tab w:val="right" w:pos="9360"/>
            </w:tabs>
          </w:pPr>
        </w:p>
      </w:tc>
      <w:tc>
        <w:tcPr>
          <w:tcW w:w="2395" w:type="pct"/>
        </w:tcPr>
        <w:p w14:paraId="208238B9" w14:textId="560386C6" w:rsidR="00EC379B" w:rsidRPr="009C1E9A" w:rsidRDefault="00A0693F" w:rsidP="009C1E9A">
          <w:pPr>
            <w:pStyle w:val="Footer"/>
            <w:tabs>
              <w:tab w:val="clear" w:pos="8640"/>
              <w:tab w:val="right" w:pos="9360"/>
            </w:tabs>
            <w:rPr>
              <w:rFonts w:ascii="Shruti" w:hAnsi="Shruti"/>
              <w:sz w:val="22"/>
            </w:rPr>
          </w:pPr>
          <w:r>
            <w:rPr>
              <w:rFonts w:ascii="Shruti" w:hAnsi="Shruti"/>
              <w:sz w:val="22"/>
            </w:rPr>
            <w:t>89R 25739-D</w:t>
          </w:r>
        </w:p>
      </w:tc>
      <w:tc>
        <w:tcPr>
          <w:tcW w:w="2453" w:type="pct"/>
        </w:tcPr>
        <w:p w14:paraId="3EC6CEE0" w14:textId="6098A1CE" w:rsidR="00EC379B" w:rsidRDefault="00A0693F" w:rsidP="009C1E9A">
          <w:pPr>
            <w:pStyle w:val="Footer"/>
            <w:tabs>
              <w:tab w:val="clear" w:pos="8640"/>
              <w:tab w:val="right" w:pos="9360"/>
            </w:tabs>
            <w:jc w:val="right"/>
          </w:pPr>
          <w:r>
            <w:fldChar w:fldCharType="begin"/>
          </w:r>
          <w:r>
            <w:instrText xml:space="preserve"> DOCPROPERTY  OTID  \* MERGEFORMAT </w:instrText>
          </w:r>
          <w:r>
            <w:fldChar w:fldCharType="separate"/>
          </w:r>
          <w:r w:rsidR="00F95890">
            <w:t>25.113.132</w:t>
          </w:r>
          <w:r>
            <w:fldChar w:fldCharType="end"/>
          </w:r>
        </w:p>
      </w:tc>
    </w:tr>
    <w:tr w:rsidR="00287441" w14:paraId="5647D28B" w14:textId="77777777" w:rsidTr="009C1E9A">
      <w:trPr>
        <w:cantSplit/>
      </w:trPr>
      <w:tc>
        <w:tcPr>
          <w:tcW w:w="0" w:type="pct"/>
        </w:tcPr>
        <w:p w14:paraId="1E136E69" w14:textId="77777777" w:rsidR="00EC379B" w:rsidRDefault="00EC379B" w:rsidP="009C1E9A">
          <w:pPr>
            <w:pStyle w:val="Footer"/>
            <w:tabs>
              <w:tab w:val="clear" w:pos="4320"/>
              <w:tab w:val="clear" w:pos="8640"/>
              <w:tab w:val="left" w:pos="2865"/>
            </w:tabs>
          </w:pPr>
        </w:p>
      </w:tc>
      <w:tc>
        <w:tcPr>
          <w:tcW w:w="2395" w:type="pct"/>
        </w:tcPr>
        <w:p w14:paraId="6A7F66AB" w14:textId="6B848587" w:rsidR="00EC379B" w:rsidRPr="009C1E9A" w:rsidRDefault="00A0693F" w:rsidP="009C1E9A">
          <w:pPr>
            <w:pStyle w:val="Footer"/>
            <w:tabs>
              <w:tab w:val="clear" w:pos="4320"/>
              <w:tab w:val="clear" w:pos="8640"/>
              <w:tab w:val="left" w:pos="2865"/>
            </w:tabs>
            <w:rPr>
              <w:rFonts w:ascii="Shruti" w:hAnsi="Shruti"/>
              <w:sz w:val="22"/>
            </w:rPr>
          </w:pPr>
          <w:r>
            <w:rPr>
              <w:rFonts w:ascii="Shruti" w:hAnsi="Shruti"/>
              <w:sz w:val="22"/>
            </w:rPr>
            <w:t>Substitute Document Number: 89R 21424</w:t>
          </w:r>
        </w:p>
      </w:tc>
      <w:tc>
        <w:tcPr>
          <w:tcW w:w="2453" w:type="pct"/>
        </w:tcPr>
        <w:p w14:paraId="349294A0" w14:textId="77777777" w:rsidR="00EC379B" w:rsidRDefault="00EC379B" w:rsidP="006D504F">
          <w:pPr>
            <w:pStyle w:val="Footer"/>
            <w:rPr>
              <w:rStyle w:val="PageNumber"/>
            </w:rPr>
          </w:pPr>
        </w:p>
        <w:p w14:paraId="765C842E" w14:textId="77777777" w:rsidR="00EC379B" w:rsidRDefault="00EC379B" w:rsidP="009C1E9A">
          <w:pPr>
            <w:pStyle w:val="Footer"/>
            <w:tabs>
              <w:tab w:val="clear" w:pos="8640"/>
              <w:tab w:val="right" w:pos="9360"/>
            </w:tabs>
            <w:jc w:val="right"/>
          </w:pPr>
        </w:p>
      </w:tc>
    </w:tr>
    <w:tr w:rsidR="00287441" w14:paraId="2C1F7AB8" w14:textId="77777777" w:rsidTr="009C1E9A">
      <w:trPr>
        <w:cantSplit/>
        <w:trHeight w:val="323"/>
      </w:trPr>
      <w:tc>
        <w:tcPr>
          <w:tcW w:w="0" w:type="pct"/>
          <w:gridSpan w:val="3"/>
        </w:tcPr>
        <w:p w14:paraId="1C6505D3" w14:textId="77777777" w:rsidR="00EC379B" w:rsidRDefault="00A0693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A9D35A2" w14:textId="77777777" w:rsidR="00EC379B" w:rsidRDefault="00EC379B" w:rsidP="009C1E9A">
          <w:pPr>
            <w:pStyle w:val="Footer"/>
            <w:tabs>
              <w:tab w:val="clear" w:pos="8640"/>
              <w:tab w:val="right" w:pos="9360"/>
            </w:tabs>
            <w:jc w:val="center"/>
          </w:pPr>
        </w:p>
      </w:tc>
    </w:tr>
  </w:tbl>
  <w:p w14:paraId="4EB3A9C7"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AC9F"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48D3" w14:textId="77777777" w:rsidR="00A0693F" w:rsidRDefault="00A0693F">
      <w:r>
        <w:separator/>
      </w:r>
    </w:p>
  </w:footnote>
  <w:footnote w:type="continuationSeparator" w:id="0">
    <w:p w14:paraId="58047020" w14:textId="77777777" w:rsidR="00A0693F" w:rsidRDefault="00A0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6E07"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C14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FC8"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82"/>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3EE6"/>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5E51"/>
    <w:rsid w:val="00277434"/>
    <w:rsid w:val="00280123"/>
    <w:rsid w:val="00281343"/>
    <w:rsid w:val="00281883"/>
    <w:rsid w:val="00287441"/>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6BAD"/>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6D8D"/>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3F04"/>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00B1"/>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0722"/>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85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3B26"/>
    <w:rsid w:val="00660F8B"/>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4754"/>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27E13"/>
    <w:rsid w:val="00830EEB"/>
    <w:rsid w:val="008347A9"/>
    <w:rsid w:val="00835628"/>
    <w:rsid w:val="00835E90"/>
    <w:rsid w:val="0084176D"/>
    <w:rsid w:val="008423E4"/>
    <w:rsid w:val="00842900"/>
    <w:rsid w:val="00842A7E"/>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31F"/>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693F"/>
    <w:rsid w:val="00A07689"/>
    <w:rsid w:val="00A07906"/>
    <w:rsid w:val="00A10908"/>
    <w:rsid w:val="00A12330"/>
    <w:rsid w:val="00A1259F"/>
    <w:rsid w:val="00A12746"/>
    <w:rsid w:val="00A1446F"/>
    <w:rsid w:val="00A151B5"/>
    <w:rsid w:val="00A16A43"/>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2A34"/>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001"/>
    <w:rsid w:val="00BE5274"/>
    <w:rsid w:val="00BE71CD"/>
    <w:rsid w:val="00BE7748"/>
    <w:rsid w:val="00BE7BDA"/>
    <w:rsid w:val="00BF0548"/>
    <w:rsid w:val="00BF4949"/>
    <w:rsid w:val="00BF4D7C"/>
    <w:rsid w:val="00BF5085"/>
    <w:rsid w:val="00C013F4"/>
    <w:rsid w:val="00C040AB"/>
    <w:rsid w:val="00C0499B"/>
    <w:rsid w:val="00C05406"/>
    <w:rsid w:val="00C05CF0"/>
    <w:rsid w:val="00C07840"/>
    <w:rsid w:val="00C119AC"/>
    <w:rsid w:val="00C14EE6"/>
    <w:rsid w:val="00C151DA"/>
    <w:rsid w:val="00C152A1"/>
    <w:rsid w:val="00C16CCB"/>
    <w:rsid w:val="00C2142B"/>
    <w:rsid w:val="00C22987"/>
    <w:rsid w:val="00C23956"/>
    <w:rsid w:val="00C248E6"/>
    <w:rsid w:val="00C2766F"/>
    <w:rsid w:val="00C3223B"/>
    <w:rsid w:val="00C333C6"/>
    <w:rsid w:val="00C3466B"/>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0485"/>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5806"/>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32E8"/>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3001"/>
    <w:rsid w:val="00F95882"/>
    <w:rsid w:val="00F95890"/>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FE9B0D-DAC5-498D-AA88-CB887672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95882"/>
    <w:rPr>
      <w:sz w:val="16"/>
      <w:szCs w:val="16"/>
    </w:rPr>
  </w:style>
  <w:style w:type="paragraph" w:styleId="CommentText">
    <w:name w:val="annotation text"/>
    <w:basedOn w:val="Normal"/>
    <w:link w:val="CommentTextChar"/>
    <w:unhideWhenUsed/>
    <w:rsid w:val="00F95882"/>
    <w:rPr>
      <w:sz w:val="20"/>
      <w:szCs w:val="20"/>
    </w:rPr>
  </w:style>
  <w:style w:type="character" w:customStyle="1" w:styleId="CommentTextChar">
    <w:name w:val="Comment Text Char"/>
    <w:basedOn w:val="DefaultParagraphFont"/>
    <w:link w:val="CommentText"/>
    <w:rsid w:val="00F95882"/>
  </w:style>
  <w:style w:type="paragraph" w:styleId="CommentSubject">
    <w:name w:val="annotation subject"/>
    <w:basedOn w:val="CommentText"/>
    <w:next w:val="CommentText"/>
    <w:link w:val="CommentSubjectChar"/>
    <w:semiHidden/>
    <w:unhideWhenUsed/>
    <w:rsid w:val="00A62A34"/>
    <w:rPr>
      <w:b/>
      <w:bCs/>
    </w:rPr>
  </w:style>
  <w:style w:type="character" w:customStyle="1" w:styleId="CommentSubjectChar">
    <w:name w:val="Comment Subject Char"/>
    <w:basedOn w:val="CommentTextChar"/>
    <w:link w:val="CommentSubject"/>
    <w:semiHidden/>
    <w:rsid w:val="00A62A34"/>
    <w:rPr>
      <w:b/>
      <w:bCs/>
    </w:rPr>
  </w:style>
  <w:style w:type="paragraph" w:styleId="Revision">
    <w:name w:val="Revision"/>
    <w:hidden/>
    <w:uiPriority w:val="99"/>
    <w:semiHidden/>
    <w:rsid w:val="00842A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2350</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BA - SB01035 (Committee Report (Substituted))</vt:lpstr>
    </vt:vector>
  </TitlesOfParts>
  <Company>State of Texas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25739</dc:subject>
  <dc:creator>State of Texas</dc:creator>
  <dc:description>SB 1035 by Sparks-(H)Agriculture &amp; Livestock (Substitute Document Number: 89R 21424)</dc:description>
  <cp:lastModifiedBy>Damian Duarte</cp:lastModifiedBy>
  <cp:revision>2</cp:revision>
  <cp:lastPrinted>2003-11-26T17:21:00Z</cp:lastPrinted>
  <dcterms:created xsi:type="dcterms:W3CDTF">2025-04-28T15:07:00Z</dcterms:created>
  <dcterms:modified xsi:type="dcterms:W3CDTF">2025-04-28T15:07:00Z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25.113.132</vt:lpwstr>
  </property>
</Properties>
</file>