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1CEF" w:rsidRDefault="002F1CE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110324289F248B0A823CAA91C78F3ED"/>
          </w:placeholder>
        </w:sdtPr>
        <w:sdtContent>
          <w:r w:rsidRPr="005C2A78">
            <w:rPr>
              <w:rFonts w:cs="Times New Roman"/>
              <w:b/>
              <w:szCs w:val="24"/>
              <w:u w:val="single"/>
            </w:rPr>
            <w:t>BILL ANALYSIS</w:t>
          </w:r>
        </w:sdtContent>
      </w:sdt>
    </w:p>
    <w:p w:rsidR="002F1CEF" w:rsidRPr="00585C31" w:rsidRDefault="002F1CEF" w:rsidP="000F1DF9">
      <w:pPr>
        <w:spacing w:after="0" w:line="240" w:lineRule="auto"/>
        <w:rPr>
          <w:rFonts w:cs="Times New Roman"/>
          <w:szCs w:val="24"/>
        </w:rPr>
      </w:pPr>
    </w:p>
    <w:p w:rsidR="002F1CEF" w:rsidRPr="00585C31" w:rsidRDefault="002F1CE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1CEF" w:rsidTr="000F1DF9">
        <w:tc>
          <w:tcPr>
            <w:tcW w:w="2718" w:type="dxa"/>
          </w:tcPr>
          <w:p w:rsidR="002F1CEF" w:rsidRPr="005C2A78" w:rsidRDefault="002F1CEF" w:rsidP="006D756B">
            <w:pPr>
              <w:rPr>
                <w:rFonts w:cs="Times New Roman"/>
                <w:szCs w:val="24"/>
              </w:rPr>
            </w:pPr>
            <w:sdt>
              <w:sdtPr>
                <w:rPr>
                  <w:rFonts w:cs="Times New Roman"/>
                  <w:szCs w:val="24"/>
                </w:rPr>
                <w:alias w:val="Agency Title"/>
                <w:tag w:val="AgencyTitleContentControl"/>
                <w:id w:val="1920747753"/>
                <w:lock w:val="sdtContentLocked"/>
                <w:placeholder>
                  <w:docPart w:val="8EC483CF9B4B449BB8F024EFB677E531"/>
                </w:placeholder>
              </w:sdtPr>
              <w:sdtEndPr>
                <w:rPr>
                  <w:rFonts w:cstheme="minorBidi"/>
                  <w:szCs w:val="22"/>
                </w:rPr>
              </w:sdtEndPr>
              <w:sdtContent>
                <w:r>
                  <w:rPr>
                    <w:rFonts w:cs="Times New Roman"/>
                    <w:szCs w:val="24"/>
                  </w:rPr>
                  <w:t>Senate Research Center</w:t>
                </w:r>
              </w:sdtContent>
            </w:sdt>
          </w:p>
        </w:tc>
        <w:tc>
          <w:tcPr>
            <w:tcW w:w="6858" w:type="dxa"/>
          </w:tcPr>
          <w:p w:rsidR="002F1CEF" w:rsidRPr="00FF6471" w:rsidRDefault="002F1CEF" w:rsidP="000F1DF9">
            <w:pPr>
              <w:jc w:val="right"/>
              <w:rPr>
                <w:rFonts w:cs="Times New Roman"/>
                <w:szCs w:val="24"/>
              </w:rPr>
            </w:pPr>
            <w:sdt>
              <w:sdtPr>
                <w:rPr>
                  <w:rFonts w:cs="Times New Roman"/>
                  <w:szCs w:val="24"/>
                </w:rPr>
                <w:alias w:val="Bill Number"/>
                <w:tag w:val="BillNumberOne"/>
                <w:id w:val="-410784069"/>
                <w:lock w:val="sdtContentLocked"/>
                <w:placeholder>
                  <w:docPart w:val="AC9B295748FD45AEB90BB8125FFF0E6D"/>
                </w:placeholder>
              </w:sdtPr>
              <w:sdtContent>
                <w:r>
                  <w:rPr>
                    <w:rFonts w:cs="Times New Roman"/>
                    <w:szCs w:val="24"/>
                  </w:rPr>
                  <w:t>C.S.S.B. 1057</w:t>
                </w:r>
              </w:sdtContent>
            </w:sdt>
          </w:p>
        </w:tc>
      </w:tr>
      <w:tr w:rsidR="002F1CEF" w:rsidTr="000F1DF9">
        <w:sdt>
          <w:sdtPr>
            <w:rPr>
              <w:rFonts w:cs="Times New Roman"/>
              <w:szCs w:val="24"/>
            </w:rPr>
            <w:alias w:val="TLCNumber"/>
            <w:tag w:val="TLCNumber"/>
            <w:id w:val="-542600604"/>
            <w:lock w:val="sdtLocked"/>
            <w:placeholder>
              <w:docPart w:val="98DE53130D8341F48D38529E9AE103B3"/>
            </w:placeholder>
          </w:sdtPr>
          <w:sdtContent>
            <w:tc>
              <w:tcPr>
                <w:tcW w:w="2718" w:type="dxa"/>
              </w:tcPr>
              <w:p w:rsidR="002F1CEF" w:rsidRPr="000F1DF9" w:rsidRDefault="002F1CEF" w:rsidP="00C65088">
                <w:pPr>
                  <w:rPr>
                    <w:rFonts w:cs="Times New Roman"/>
                    <w:szCs w:val="24"/>
                  </w:rPr>
                </w:pPr>
                <w:r>
                  <w:rPr>
                    <w:rFonts w:cs="Times New Roman"/>
                    <w:szCs w:val="24"/>
                  </w:rPr>
                  <w:t>89R11828 SCR-F</w:t>
                </w:r>
              </w:p>
            </w:tc>
          </w:sdtContent>
        </w:sdt>
        <w:tc>
          <w:tcPr>
            <w:tcW w:w="6858" w:type="dxa"/>
          </w:tcPr>
          <w:p w:rsidR="002F1CEF" w:rsidRPr="005C2A78" w:rsidRDefault="002F1CEF" w:rsidP="00073EDD">
            <w:pPr>
              <w:jc w:val="right"/>
              <w:rPr>
                <w:rFonts w:cs="Times New Roman"/>
                <w:szCs w:val="24"/>
              </w:rPr>
            </w:pPr>
            <w:sdt>
              <w:sdtPr>
                <w:rPr>
                  <w:rFonts w:cs="Times New Roman"/>
                  <w:szCs w:val="24"/>
                </w:rPr>
                <w:alias w:val="Author Label"/>
                <w:tag w:val="By"/>
                <w:id w:val="72399597"/>
                <w:lock w:val="sdtLocked"/>
                <w:placeholder>
                  <w:docPart w:val="D687DCF3DC50488D976F89A3F20ADF5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A0E6A79127C4A0381AB07269655BA1F"/>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E0E2E26735654FE2B75E6951BBF29473"/>
                </w:placeholder>
                <w:showingPlcHdr/>
              </w:sdtPr>
              <w:sdtContent/>
            </w:sdt>
            <w:sdt>
              <w:sdtPr>
                <w:rPr>
                  <w:rFonts w:cs="Times New Roman"/>
                  <w:szCs w:val="24"/>
                </w:rPr>
                <w:alias w:val="DualSponsor"/>
                <w:tag w:val="DualSponsor"/>
                <w:id w:val="1029379812"/>
                <w:lock w:val="sdtContentLocked"/>
                <w:placeholder>
                  <w:docPart w:val="19D0764FF26F472E82AA6C5B1FD03C80"/>
                </w:placeholder>
                <w:showingPlcHdr/>
              </w:sdtPr>
              <w:sdtContent/>
            </w:sdt>
          </w:p>
        </w:tc>
      </w:tr>
      <w:tr w:rsidR="002F1CEF" w:rsidTr="000F1DF9">
        <w:tc>
          <w:tcPr>
            <w:tcW w:w="2718" w:type="dxa"/>
          </w:tcPr>
          <w:p w:rsidR="002F1CEF" w:rsidRPr="00BC7495" w:rsidRDefault="002F1CEF" w:rsidP="000F1DF9">
            <w:pPr>
              <w:rPr>
                <w:rFonts w:cs="Times New Roman"/>
                <w:szCs w:val="24"/>
              </w:rPr>
            </w:pPr>
          </w:p>
        </w:tc>
        <w:sdt>
          <w:sdtPr>
            <w:rPr>
              <w:rFonts w:cs="Times New Roman"/>
              <w:szCs w:val="24"/>
            </w:rPr>
            <w:alias w:val="Committee"/>
            <w:tag w:val="Committee"/>
            <w:id w:val="1914272295"/>
            <w:lock w:val="sdtContentLocked"/>
            <w:placeholder>
              <w:docPart w:val="862CB2DB65C048009BF148C5FD1EE1C2"/>
            </w:placeholder>
          </w:sdtPr>
          <w:sdtContent>
            <w:tc>
              <w:tcPr>
                <w:tcW w:w="6858" w:type="dxa"/>
              </w:tcPr>
              <w:p w:rsidR="002F1CEF" w:rsidRPr="00FF6471" w:rsidRDefault="002F1CEF" w:rsidP="000F1DF9">
                <w:pPr>
                  <w:jc w:val="right"/>
                  <w:rPr>
                    <w:rFonts w:cs="Times New Roman"/>
                    <w:szCs w:val="24"/>
                  </w:rPr>
                </w:pPr>
                <w:r>
                  <w:rPr>
                    <w:rFonts w:cs="Times New Roman"/>
                    <w:szCs w:val="24"/>
                  </w:rPr>
                  <w:t>Business &amp; Commerce</w:t>
                </w:r>
              </w:p>
            </w:tc>
          </w:sdtContent>
        </w:sdt>
      </w:tr>
      <w:tr w:rsidR="002F1CEF" w:rsidTr="000F1DF9">
        <w:tc>
          <w:tcPr>
            <w:tcW w:w="2718" w:type="dxa"/>
          </w:tcPr>
          <w:p w:rsidR="002F1CEF" w:rsidRPr="00BC7495" w:rsidRDefault="002F1CEF" w:rsidP="000F1DF9">
            <w:pPr>
              <w:rPr>
                <w:rFonts w:cs="Times New Roman"/>
                <w:szCs w:val="24"/>
              </w:rPr>
            </w:pPr>
          </w:p>
        </w:tc>
        <w:sdt>
          <w:sdtPr>
            <w:rPr>
              <w:rFonts w:cs="Times New Roman"/>
              <w:szCs w:val="24"/>
            </w:rPr>
            <w:alias w:val="Date"/>
            <w:tag w:val="DateContentControl"/>
            <w:id w:val="1178081906"/>
            <w:lock w:val="sdtLocked"/>
            <w:placeholder>
              <w:docPart w:val="814AD04BB0CC4245BE4EBB0F4AE8F9D8"/>
            </w:placeholder>
            <w:date w:fullDate="2025-03-18T00:00:00Z">
              <w:dateFormat w:val="M/d/yyyy"/>
              <w:lid w:val="en-US"/>
              <w:storeMappedDataAs w:val="dateTime"/>
              <w:calendar w:val="gregorian"/>
            </w:date>
          </w:sdtPr>
          <w:sdtContent>
            <w:tc>
              <w:tcPr>
                <w:tcW w:w="6858" w:type="dxa"/>
              </w:tcPr>
              <w:p w:rsidR="002F1CEF" w:rsidRPr="00FF6471" w:rsidRDefault="002F1CEF" w:rsidP="000F1DF9">
                <w:pPr>
                  <w:jc w:val="right"/>
                  <w:rPr>
                    <w:rFonts w:cs="Times New Roman"/>
                    <w:szCs w:val="24"/>
                  </w:rPr>
                </w:pPr>
                <w:r>
                  <w:rPr>
                    <w:rFonts w:cs="Times New Roman"/>
                    <w:szCs w:val="24"/>
                  </w:rPr>
                  <w:t>3/18/2025</w:t>
                </w:r>
              </w:p>
            </w:tc>
          </w:sdtContent>
        </w:sdt>
      </w:tr>
      <w:tr w:rsidR="002F1CEF" w:rsidTr="000F1DF9">
        <w:tc>
          <w:tcPr>
            <w:tcW w:w="2718" w:type="dxa"/>
          </w:tcPr>
          <w:p w:rsidR="002F1CEF" w:rsidRPr="00BC7495" w:rsidRDefault="002F1CEF" w:rsidP="000F1DF9">
            <w:pPr>
              <w:rPr>
                <w:rFonts w:cs="Times New Roman"/>
                <w:szCs w:val="24"/>
              </w:rPr>
            </w:pPr>
          </w:p>
        </w:tc>
        <w:sdt>
          <w:sdtPr>
            <w:rPr>
              <w:rFonts w:cs="Times New Roman"/>
              <w:szCs w:val="24"/>
            </w:rPr>
            <w:alias w:val="BA Version"/>
            <w:tag w:val="BAVersion"/>
            <w:id w:val="-1685590809"/>
            <w:lock w:val="sdtContentLocked"/>
            <w:placeholder>
              <w:docPart w:val="C18B5373ECC24766B23FE85E5C4D6FBB"/>
            </w:placeholder>
          </w:sdtPr>
          <w:sdtContent>
            <w:tc>
              <w:tcPr>
                <w:tcW w:w="6858" w:type="dxa"/>
              </w:tcPr>
              <w:p w:rsidR="002F1CEF" w:rsidRPr="00FF6471" w:rsidRDefault="002F1CEF" w:rsidP="000F1DF9">
                <w:pPr>
                  <w:jc w:val="right"/>
                  <w:rPr>
                    <w:rFonts w:cs="Times New Roman"/>
                    <w:szCs w:val="24"/>
                  </w:rPr>
                </w:pPr>
                <w:r>
                  <w:rPr>
                    <w:rFonts w:cs="Times New Roman"/>
                    <w:szCs w:val="24"/>
                  </w:rPr>
                  <w:t>Committee Report (Substituted)</w:t>
                </w:r>
              </w:p>
            </w:tc>
          </w:sdtContent>
        </w:sdt>
      </w:tr>
    </w:tbl>
    <w:p w:rsidR="002F1CEF" w:rsidRPr="00FF6471" w:rsidRDefault="002F1CEF" w:rsidP="000F1DF9">
      <w:pPr>
        <w:spacing w:after="0" w:line="240" w:lineRule="auto"/>
        <w:rPr>
          <w:rFonts w:cs="Times New Roman"/>
          <w:szCs w:val="24"/>
        </w:rPr>
      </w:pPr>
    </w:p>
    <w:p w:rsidR="002F1CEF" w:rsidRPr="00FF6471" w:rsidRDefault="002F1CEF" w:rsidP="000F1DF9">
      <w:pPr>
        <w:spacing w:after="0" w:line="240" w:lineRule="auto"/>
        <w:rPr>
          <w:rFonts w:cs="Times New Roman"/>
          <w:szCs w:val="24"/>
        </w:rPr>
      </w:pPr>
    </w:p>
    <w:p w:rsidR="002F1CEF" w:rsidRPr="00FF6471" w:rsidRDefault="002F1CE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4684C2D92B841FA9A719D104DCDF993"/>
        </w:placeholder>
      </w:sdtPr>
      <w:sdtContent>
        <w:p w:rsidR="002F1CEF" w:rsidRDefault="002F1CE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E27C5B002E340B59A9BF3943658DDDC"/>
        </w:placeholder>
      </w:sdtPr>
      <w:sdtContent>
        <w:p w:rsidR="002F1CEF" w:rsidRDefault="002F1CEF" w:rsidP="00B344FD">
          <w:pPr>
            <w:pStyle w:val="NormalWeb"/>
            <w:spacing w:before="0" w:beforeAutospacing="0" w:after="0" w:afterAutospacing="0"/>
            <w:jc w:val="both"/>
            <w:divId w:val="503010373"/>
            <w:rPr>
              <w:rFonts w:eastAsia="Times New Roman"/>
              <w:bCs/>
            </w:rPr>
          </w:pPr>
        </w:p>
        <w:p w:rsidR="002F1CEF" w:rsidRDefault="002F1CEF" w:rsidP="00B344FD">
          <w:pPr>
            <w:pStyle w:val="NormalWeb"/>
            <w:spacing w:before="0" w:beforeAutospacing="0" w:after="0" w:afterAutospacing="0"/>
            <w:jc w:val="both"/>
            <w:divId w:val="503010373"/>
            <w:rPr>
              <w:rFonts w:eastAsia="Times New Roman"/>
              <w:bCs/>
            </w:rPr>
          </w:pPr>
          <w:r w:rsidRPr="00DD7343">
            <w:rPr>
              <w:rFonts w:eastAsia="Times New Roman"/>
              <w:bCs/>
            </w:rPr>
            <w:t>S</w:t>
          </w:r>
          <w:r>
            <w:rPr>
              <w:rFonts w:eastAsia="Times New Roman"/>
              <w:bCs/>
            </w:rPr>
            <w:t xml:space="preserve">ecurities and </w:t>
          </w:r>
          <w:r w:rsidRPr="00DD7343">
            <w:rPr>
              <w:rFonts w:eastAsia="Times New Roman"/>
              <w:bCs/>
            </w:rPr>
            <w:t>E</w:t>
          </w:r>
          <w:r>
            <w:rPr>
              <w:rFonts w:eastAsia="Times New Roman"/>
              <w:bCs/>
            </w:rPr>
            <w:t xml:space="preserve">xchange </w:t>
          </w:r>
          <w:r w:rsidRPr="00DD7343">
            <w:rPr>
              <w:rFonts w:eastAsia="Times New Roman"/>
              <w:bCs/>
            </w:rPr>
            <w:t>C</w:t>
          </w:r>
          <w:r>
            <w:rPr>
              <w:rFonts w:eastAsia="Times New Roman"/>
              <w:bCs/>
            </w:rPr>
            <w:t xml:space="preserve">ommission (SEC) </w:t>
          </w:r>
          <w:r w:rsidRPr="00DD7343">
            <w:rPr>
              <w:rFonts w:eastAsia="Times New Roman"/>
              <w:bCs/>
            </w:rPr>
            <w:t>Rule 14a-8 has made it too easy for small shareholders with special interests to force public companies to include proposals in proxy materials, requiring all shareholders to consider and fund them. This rule mandates that public companies present shareholder proposals—such as calls for ESG reporting—alongside management</w:t>
          </w:r>
          <w:r>
            <w:rPr>
              <w:rFonts w:eastAsia="Times New Roman"/>
              <w:bCs/>
            </w:rPr>
            <w:t>'</w:t>
          </w:r>
          <w:r w:rsidRPr="00DD7343">
            <w:rPr>
              <w:rFonts w:eastAsia="Times New Roman"/>
              <w:bCs/>
            </w:rPr>
            <w:t xml:space="preserve">s proposals, even when those proposals originate from shareholders with minimal financial stakes. The rule is a federal overlay on state laws governing shareholder meetings, but its thresholds for shareholder eligibility are strikingly low: $25,000 in stock if held for one year, $15,000 for two years, or just $2,000 for three years. These minimal requirements enable activist shareholders to advance their agendas at the expense of companies and the broader shareholder base. </w:t>
          </w:r>
        </w:p>
        <w:p w:rsidR="002F1CEF" w:rsidRDefault="002F1CEF" w:rsidP="00B344FD">
          <w:pPr>
            <w:pStyle w:val="NormalWeb"/>
            <w:spacing w:before="0" w:beforeAutospacing="0" w:after="0" w:afterAutospacing="0"/>
            <w:jc w:val="both"/>
            <w:divId w:val="503010373"/>
            <w:rPr>
              <w:rFonts w:eastAsia="Times New Roman"/>
              <w:bCs/>
            </w:rPr>
          </w:pPr>
        </w:p>
        <w:p w:rsidR="002F1CEF" w:rsidRDefault="002F1CEF" w:rsidP="00B344FD">
          <w:pPr>
            <w:pStyle w:val="NormalWeb"/>
            <w:spacing w:before="0" w:beforeAutospacing="0" w:after="0" w:afterAutospacing="0"/>
            <w:jc w:val="both"/>
            <w:divId w:val="503010373"/>
            <w:rPr>
              <w:rFonts w:eastAsia="Times New Roman"/>
              <w:bCs/>
            </w:rPr>
          </w:pPr>
          <w:r w:rsidRPr="00DD7343">
            <w:rPr>
              <w:rFonts w:eastAsia="Times New Roman"/>
              <w:bCs/>
            </w:rPr>
            <w:t>S</w:t>
          </w:r>
          <w:r>
            <w:rPr>
              <w:rFonts w:eastAsia="Times New Roman"/>
              <w:bCs/>
            </w:rPr>
            <w:t>.</w:t>
          </w:r>
          <w:r w:rsidRPr="00DD7343">
            <w:rPr>
              <w:rFonts w:eastAsia="Times New Roman"/>
              <w:bCs/>
            </w:rPr>
            <w:t>B</w:t>
          </w:r>
          <w:r>
            <w:rPr>
              <w:rFonts w:eastAsia="Times New Roman"/>
              <w:bCs/>
            </w:rPr>
            <w:t>.</w:t>
          </w:r>
          <w:r w:rsidRPr="00DD7343">
            <w:rPr>
              <w:rFonts w:eastAsia="Times New Roman"/>
              <w:bCs/>
            </w:rPr>
            <w:t xml:space="preserve"> 1057 addresses this issue by raising ownership requirements for shareholders seeking to introduce proposals at Texas-based public companies. Under the bill, shareholders must hold at least $1 million in voting securities or </w:t>
          </w:r>
          <w:r>
            <w:rPr>
              <w:rFonts w:eastAsia="Times New Roman"/>
              <w:bCs/>
            </w:rPr>
            <w:t xml:space="preserve">three percent </w:t>
          </w:r>
          <w:r w:rsidRPr="00DD7343">
            <w:rPr>
              <w:rFonts w:eastAsia="Times New Roman"/>
              <w:bCs/>
            </w:rPr>
            <w:t>of the corporation</w:t>
          </w:r>
          <w:r>
            <w:rPr>
              <w:rFonts w:eastAsia="Times New Roman"/>
              <w:bCs/>
            </w:rPr>
            <w:t>'</w:t>
          </w:r>
          <w:r w:rsidRPr="00DD7343">
            <w:rPr>
              <w:rFonts w:eastAsia="Times New Roman"/>
              <w:bCs/>
            </w:rPr>
            <w:t xml:space="preserve">s voting stock for a minimum of six months prior to and through the shareholder meeting. If these thresholds are not met, the proposal will not be eligible for a vote under Texas law, and the company will not be required to include it in proxy materials under SEC Rule 14a-8. These higher requirements ensure that only shareholders with a significant financial stake in a company can introduce proposals, preventing the misuse of corporate resources on issues that do not reflect the priorities of most shareholders. </w:t>
          </w:r>
        </w:p>
        <w:p w:rsidR="002F1CEF" w:rsidRDefault="002F1CEF" w:rsidP="00B344FD">
          <w:pPr>
            <w:pStyle w:val="NormalWeb"/>
            <w:spacing w:before="0" w:beforeAutospacing="0" w:after="0" w:afterAutospacing="0"/>
            <w:jc w:val="both"/>
            <w:divId w:val="503010373"/>
            <w:rPr>
              <w:rFonts w:eastAsia="Times New Roman"/>
              <w:bCs/>
            </w:rPr>
          </w:pPr>
        </w:p>
        <w:p w:rsidR="002F1CEF" w:rsidRDefault="002F1CEF" w:rsidP="00B344FD">
          <w:pPr>
            <w:pStyle w:val="NormalWeb"/>
            <w:spacing w:before="0" w:beforeAutospacing="0" w:after="0" w:afterAutospacing="0"/>
            <w:jc w:val="both"/>
            <w:divId w:val="503010373"/>
            <w:rPr>
              <w:rFonts w:eastAsia="Times New Roman"/>
              <w:bCs/>
            </w:rPr>
          </w:pPr>
          <w:r w:rsidRPr="00DD7343">
            <w:rPr>
              <w:rFonts w:eastAsia="Times New Roman"/>
              <w:bCs/>
            </w:rPr>
            <w:t>The bill applies to corporations formed under Texas law with SEC-registered equity securities listed on a national exchange. These companies must either have their principal office in Texas or be listed on a Texas</w:t>
          </w:r>
          <w:r>
            <w:rPr>
              <w:rFonts w:eastAsia="Times New Roman"/>
              <w:bCs/>
            </w:rPr>
            <w:t>-</w:t>
          </w:r>
          <w:r w:rsidRPr="00DD7343">
            <w:rPr>
              <w:rFonts w:eastAsia="Times New Roman"/>
              <w:bCs/>
            </w:rPr>
            <w:t>based exchange approved by the State Securities Commissioner. Beyond ownership thresholds, S</w:t>
          </w:r>
          <w:r>
            <w:rPr>
              <w:rFonts w:eastAsia="Times New Roman"/>
              <w:bCs/>
            </w:rPr>
            <w:t>.</w:t>
          </w:r>
          <w:r w:rsidRPr="00DD7343">
            <w:rPr>
              <w:rFonts w:eastAsia="Times New Roman"/>
              <w:bCs/>
            </w:rPr>
            <w:t>B</w:t>
          </w:r>
          <w:r>
            <w:rPr>
              <w:rFonts w:eastAsia="Times New Roman"/>
              <w:bCs/>
            </w:rPr>
            <w:t>.</w:t>
          </w:r>
          <w:r w:rsidRPr="00DD7343">
            <w:rPr>
              <w:rFonts w:eastAsia="Times New Roman"/>
              <w:bCs/>
            </w:rPr>
            <w:t xml:space="preserve"> 1057 introduces a procedural requirement: shareholders proposing resolutions must solicit proxies from at least 67</w:t>
          </w:r>
          <w:r>
            <w:rPr>
              <w:rFonts w:eastAsia="Times New Roman"/>
              <w:bCs/>
            </w:rPr>
            <w:t xml:space="preserve"> percent</w:t>
          </w:r>
          <w:r w:rsidRPr="00DD7343">
            <w:rPr>
              <w:rFonts w:eastAsia="Times New Roman"/>
              <w:bCs/>
            </w:rPr>
            <w:t xml:space="preserve"> of shares entitled to vote. This ensures that any shareholder advancing a proposal bears the cost of outreach rather than relying on the company</w:t>
          </w:r>
          <w:r>
            <w:rPr>
              <w:rFonts w:eastAsia="Times New Roman"/>
              <w:bCs/>
            </w:rPr>
            <w:t>'</w:t>
          </w:r>
          <w:r w:rsidRPr="00DD7343">
            <w:rPr>
              <w:rFonts w:eastAsia="Times New Roman"/>
              <w:bCs/>
            </w:rPr>
            <w:t xml:space="preserve">s proxy materials. </w:t>
          </w:r>
        </w:p>
        <w:p w:rsidR="002F1CEF" w:rsidRDefault="002F1CEF" w:rsidP="00B344FD">
          <w:pPr>
            <w:pStyle w:val="NormalWeb"/>
            <w:spacing w:before="0" w:beforeAutospacing="0" w:after="0" w:afterAutospacing="0"/>
            <w:jc w:val="both"/>
            <w:divId w:val="503010373"/>
            <w:rPr>
              <w:rFonts w:eastAsia="Times New Roman"/>
              <w:bCs/>
            </w:rPr>
          </w:pPr>
        </w:p>
        <w:p w:rsidR="002F1CEF" w:rsidRDefault="002F1CEF" w:rsidP="00B344FD">
          <w:pPr>
            <w:pStyle w:val="NormalWeb"/>
            <w:spacing w:before="0" w:beforeAutospacing="0" w:after="0" w:afterAutospacing="0"/>
            <w:jc w:val="both"/>
            <w:divId w:val="503010373"/>
            <w:rPr>
              <w:rFonts w:eastAsia="Times New Roman"/>
              <w:bCs/>
            </w:rPr>
          </w:pPr>
          <w:r w:rsidRPr="00DD7343">
            <w:rPr>
              <w:rFonts w:eastAsia="Times New Roman"/>
              <w:bCs/>
            </w:rPr>
            <w:t>Compared to the market capitalization of companies in the S&amp;P 500 Index, the current SEC thresholds represent an almost negligible ownership percentage—just 0.000002</w:t>
          </w:r>
          <w:r>
            <w:rPr>
              <w:rFonts w:eastAsia="Times New Roman"/>
              <w:bCs/>
            </w:rPr>
            <w:t xml:space="preserve"> percent</w:t>
          </w:r>
          <w:r w:rsidRPr="00DD7343">
            <w:rPr>
              <w:rFonts w:eastAsia="Times New Roman"/>
              <w:bCs/>
            </w:rPr>
            <w:t xml:space="preserve"> at the lowest level. By contrast, S</w:t>
          </w:r>
          <w:r>
            <w:rPr>
              <w:rFonts w:eastAsia="Times New Roman"/>
              <w:bCs/>
            </w:rPr>
            <w:t>.</w:t>
          </w:r>
          <w:r w:rsidRPr="00DD7343">
            <w:rPr>
              <w:rFonts w:eastAsia="Times New Roman"/>
              <w:bCs/>
            </w:rPr>
            <w:t>B</w:t>
          </w:r>
          <w:r>
            <w:rPr>
              <w:rFonts w:eastAsia="Times New Roman"/>
              <w:bCs/>
            </w:rPr>
            <w:t>.</w:t>
          </w:r>
          <w:r w:rsidRPr="00DD7343">
            <w:rPr>
              <w:rFonts w:eastAsia="Times New Roman"/>
              <w:bCs/>
            </w:rPr>
            <w:t xml:space="preserve"> 1057</w:t>
          </w:r>
          <w:r>
            <w:rPr>
              <w:rFonts w:eastAsia="Times New Roman"/>
              <w:bCs/>
            </w:rPr>
            <w:t>'</w:t>
          </w:r>
          <w:r w:rsidRPr="00DD7343">
            <w:rPr>
              <w:rFonts w:eastAsia="Times New Roman"/>
              <w:bCs/>
            </w:rPr>
            <w:t xml:space="preserve">s $1 million requirement is 500 times higher for one-year holders and 40 times higher for three-year holders. The need for reform is especially evident among the largest corporations, which receive a disproportionate number of proposals under current SEC rules. Raising the ownership requirement would better align proposal privileges with financial investment, reducing frivolous submissions while maintaining access for legitimate shareholder activists and potential hostile bidders. </w:t>
          </w:r>
        </w:p>
        <w:p w:rsidR="002F1CEF" w:rsidRDefault="002F1CEF" w:rsidP="00B344FD">
          <w:pPr>
            <w:pStyle w:val="NormalWeb"/>
            <w:spacing w:before="0" w:beforeAutospacing="0" w:after="0" w:afterAutospacing="0"/>
            <w:jc w:val="both"/>
            <w:divId w:val="503010373"/>
            <w:rPr>
              <w:rFonts w:eastAsia="Times New Roman"/>
              <w:bCs/>
            </w:rPr>
          </w:pPr>
        </w:p>
        <w:p w:rsidR="002F1CEF" w:rsidRDefault="002F1CEF" w:rsidP="00B344FD">
          <w:pPr>
            <w:pStyle w:val="NormalWeb"/>
            <w:spacing w:before="0" w:beforeAutospacing="0" w:after="0" w:afterAutospacing="0"/>
            <w:jc w:val="both"/>
            <w:divId w:val="503010373"/>
            <w:rPr>
              <w:rFonts w:eastAsia="Times New Roman"/>
              <w:bCs/>
            </w:rPr>
          </w:pPr>
          <w:r w:rsidRPr="00DD7343">
            <w:rPr>
              <w:rFonts w:eastAsia="Times New Roman"/>
              <w:bCs/>
            </w:rPr>
            <w:t>S</w:t>
          </w:r>
          <w:r>
            <w:rPr>
              <w:rFonts w:eastAsia="Times New Roman"/>
              <w:bCs/>
            </w:rPr>
            <w:t>.</w:t>
          </w:r>
          <w:r w:rsidRPr="00DD7343">
            <w:rPr>
              <w:rFonts w:eastAsia="Times New Roman"/>
              <w:bCs/>
            </w:rPr>
            <w:t>B</w:t>
          </w:r>
          <w:r>
            <w:rPr>
              <w:rFonts w:eastAsia="Times New Roman"/>
              <w:bCs/>
            </w:rPr>
            <w:t>.</w:t>
          </w:r>
          <w:r w:rsidRPr="00DD7343">
            <w:rPr>
              <w:rFonts w:eastAsia="Times New Roman"/>
              <w:bCs/>
            </w:rPr>
            <w:t xml:space="preserve"> 1057 allows shareholders to aggregate holdings to meet the $1 million threshold, ensuring smaller investors can still submit proposals while filtering out those with minimal stakes and self-serving agendas. Encouraging shareholder coordination could lead to more thoughtful and widely supported proposals. By implementing these reforms, Texas corporations could achieve significant cost savings while management and shareholders focus on issues that matter to the majority. The bill could also serve as an incentive for more corporations to incorporate in Texas, reinforcing the state</w:t>
          </w:r>
          <w:r>
            <w:rPr>
              <w:rFonts w:eastAsia="Times New Roman"/>
              <w:bCs/>
            </w:rPr>
            <w:t>'</w:t>
          </w:r>
          <w:r w:rsidRPr="00DD7343">
            <w:rPr>
              <w:rFonts w:eastAsia="Times New Roman"/>
              <w:bCs/>
            </w:rPr>
            <w:t>s pro-business environment.</w:t>
          </w:r>
        </w:p>
        <w:p w:rsidR="002F1CEF" w:rsidRPr="00DD7343" w:rsidRDefault="002F1CEF" w:rsidP="00B344FD">
          <w:pPr>
            <w:pStyle w:val="NormalWeb"/>
            <w:spacing w:before="0" w:beforeAutospacing="0" w:after="0" w:afterAutospacing="0"/>
            <w:jc w:val="both"/>
            <w:divId w:val="503010373"/>
          </w:pPr>
          <w:r w:rsidRPr="00DD7343">
            <w:t> </w:t>
          </w:r>
        </w:p>
        <w:p w:rsidR="002F1CEF" w:rsidRPr="00DD7343" w:rsidRDefault="002F1CEF" w:rsidP="00B344FD">
          <w:pPr>
            <w:pStyle w:val="NormalWeb"/>
            <w:spacing w:before="0" w:beforeAutospacing="0" w:after="0" w:afterAutospacing="0"/>
            <w:jc w:val="both"/>
            <w:divId w:val="503010373"/>
          </w:pPr>
          <w:r>
            <w:t>(Original Author's/Sponsor's Statement of Intent)</w:t>
          </w:r>
        </w:p>
        <w:p w:rsidR="002F1CEF" w:rsidRPr="00DD7343" w:rsidRDefault="002F1CEF" w:rsidP="00B344FD">
          <w:pPr>
            <w:pStyle w:val="NormalWeb"/>
            <w:spacing w:before="0" w:beforeAutospacing="0" w:after="0" w:afterAutospacing="0"/>
            <w:jc w:val="both"/>
            <w:divId w:val="503010373"/>
          </w:pPr>
          <w:r w:rsidRPr="00DD7343">
            <w:t> </w:t>
          </w:r>
        </w:p>
      </w:sdtContent>
    </w:sdt>
    <w:p w:rsidR="002F1CEF" w:rsidRDefault="002F1CEF" w:rsidP="00B344F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1057 </w:t>
      </w:r>
      <w:bookmarkStart w:id="1" w:name="AmendsCurrentLaw"/>
      <w:bookmarkEnd w:id="1"/>
      <w:r>
        <w:rPr>
          <w:rFonts w:cs="Times New Roman"/>
          <w:szCs w:val="24"/>
        </w:rPr>
        <w:t xml:space="preserve">amends current law relating to the submission and approval of certain proposals by shareholders of nationally listed corporations. </w:t>
      </w:r>
    </w:p>
    <w:p w:rsidR="002F1CEF" w:rsidRPr="00DD7343" w:rsidRDefault="002F1CEF" w:rsidP="00B344FD">
      <w:pPr>
        <w:spacing w:after="0" w:line="240" w:lineRule="auto"/>
        <w:jc w:val="both"/>
        <w:rPr>
          <w:rFonts w:eastAsia="Times New Roman" w:cs="Times New Roman"/>
          <w:szCs w:val="24"/>
        </w:rPr>
      </w:pPr>
    </w:p>
    <w:p w:rsidR="002F1CEF" w:rsidRPr="005C2A78" w:rsidRDefault="002F1CE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986EF9124EF4B94A998D1217D416235"/>
          </w:placeholder>
        </w:sdtPr>
        <w:sdtContent>
          <w:r>
            <w:rPr>
              <w:rFonts w:eastAsia="Times New Roman" w:cs="Times New Roman"/>
              <w:b/>
              <w:szCs w:val="24"/>
              <w:u w:val="single"/>
            </w:rPr>
            <w:t>RULEMAKING AUTHORITY</w:t>
          </w:r>
        </w:sdtContent>
      </w:sdt>
    </w:p>
    <w:p w:rsidR="002F1CEF" w:rsidRPr="006529C4" w:rsidRDefault="002F1CEF" w:rsidP="00B344FD">
      <w:pPr>
        <w:spacing w:after="0" w:line="240" w:lineRule="auto"/>
        <w:jc w:val="both"/>
        <w:rPr>
          <w:rFonts w:cs="Times New Roman"/>
          <w:szCs w:val="24"/>
        </w:rPr>
      </w:pPr>
    </w:p>
    <w:p w:rsidR="002F1CEF" w:rsidRPr="006529C4" w:rsidRDefault="002F1CEF" w:rsidP="00B344F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1CEF" w:rsidRPr="006529C4" w:rsidRDefault="002F1CEF" w:rsidP="00B344FD">
      <w:pPr>
        <w:spacing w:after="0" w:line="240" w:lineRule="auto"/>
        <w:jc w:val="both"/>
        <w:rPr>
          <w:rFonts w:cs="Times New Roman"/>
          <w:szCs w:val="24"/>
        </w:rPr>
      </w:pPr>
    </w:p>
    <w:p w:rsidR="002F1CEF" w:rsidRPr="005C2A78" w:rsidRDefault="002F1CE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2BB8BE6B8EC462B954A2E4D72C567F2"/>
          </w:placeholder>
        </w:sdtPr>
        <w:sdtContent>
          <w:r>
            <w:rPr>
              <w:rFonts w:eastAsia="Times New Roman" w:cs="Times New Roman"/>
              <w:b/>
              <w:szCs w:val="24"/>
              <w:u w:val="single"/>
            </w:rPr>
            <w:t>SECTION BY SECTION ANALYSIS</w:t>
          </w:r>
        </w:sdtContent>
      </w:sdt>
    </w:p>
    <w:p w:rsidR="002F1CEF" w:rsidRPr="005C2A78" w:rsidRDefault="002F1CEF" w:rsidP="00B344FD">
      <w:pPr>
        <w:spacing w:after="0" w:line="240" w:lineRule="auto"/>
        <w:jc w:val="both"/>
        <w:rPr>
          <w:rFonts w:eastAsia="Times New Roman" w:cs="Times New Roman"/>
          <w:szCs w:val="24"/>
        </w:rPr>
      </w:pPr>
    </w:p>
    <w:p w:rsidR="002F1CEF" w:rsidRDefault="002F1CEF" w:rsidP="00B344F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H, Chapter 21, Business Organizations Code, by adding Section 21.373, as follows:</w:t>
      </w:r>
    </w:p>
    <w:p w:rsidR="002F1CEF" w:rsidRDefault="002F1CEF" w:rsidP="00B344FD">
      <w:pPr>
        <w:spacing w:after="0" w:line="240" w:lineRule="auto"/>
        <w:jc w:val="both"/>
        <w:rPr>
          <w:rFonts w:eastAsia="Times New Roman" w:cs="Times New Roman"/>
          <w:szCs w:val="24"/>
        </w:rPr>
      </w:pPr>
    </w:p>
    <w:p w:rsidR="002F1CEF" w:rsidRDefault="002F1CEF" w:rsidP="00B344FD">
      <w:pPr>
        <w:spacing w:after="0" w:line="240" w:lineRule="auto"/>
        <w:ind w:left="720"/>
        <w:jc w:val="both"/>
        <w:rPr>
          <w:rFonts w:eastAsia="Times New Roman" w:cs="Times New Roman"/>
          <w:szCs w:val="24"/>
        </w:rPr>
      </w:pPr>
      <w:r>
        <w:rPr>
          <w:rFonts w:eastAsia="Times New Roman" w:cs="Times New Roman"/>
          <w:szCs w:val="24"/>
        </w:rPr>
        <w:t>Sec. 21.373. NATIONALLY LISTED CORPORATIONS: SHAREHOLDER PROPOSAL. (a) Defines "nationally listed corporation" and "voting shares."</w:t>
      </w:r>
    </w:p>
    <w:p w:rsidR="002F1CEF" w:rsidRDefault="002F1CEF" w:rsidP="00B344FD">
      <w:pPr>
        <w:spacing w:after="0" w:line="240" w:lineRule="auto"/>
        <w:ind w:left="720"/>
        <w:jc w:val="both"/>
        <w:rPr>
          <w:rFonts w:eastAsia="Times New Roman" w:cs="Times New Roman"/>
          <w:szCs w:val="24"/>
        </w:rPr>
      </w:pPr>
    </w:p>
    <w:p w:rsidR="002F1CEF" w:rsidRDefault="002F1CEF" w:rsidP="00B344FD">
      <w:pPr>
        <w:spacing w:after="0" w:line="240" w:lineRule="auto"/>
        <w:ind w:left="1440"/>
        <w:jc w:val="both"/>
        <w:rPr>
          <w:rFonts w:eastAsia="Times New Roman" w:cs="Times New Roman"/>
          <w:szCs w:val="24"/>
        </w:rPr>
      </w:pPr>
      <w:r>
        <w:rPr>
          <w:rFonts w:eastAsia="Times New Roman" w:cs="Times New Roman"/>
          <w:szCs w:val="24"/>
        </w:rPr>
        <w:t xml:space="preserve">(b) Provides that this section applies only to a nationally listed corporation that makes an affirmative election to be governed by this section under an amendment to the corporation's governing documents. </w:t>
      </w:r>
    </w:p>
    <w:p w:rsidR="002F1CEF" w:rsidRDefault="002F1CEF" w:rsidP="00B344FD">
      <w:pPr>
        <w:spacing w:after="0" w:line="240" w:lineRule="auto"/>
        <w:ind w:left="1440"/>
        <w:jc w:val="both"/>
        <w:rPr>
          <w:rFonts w:eastAsia="Times New Roman" w:cs="Times New Roman"/>
          <w:szCs w:val="24"/>
        </w:rPr>
      </w:pPr>
    </w:p>
    <w:p w:rsidR="002F1CEF" w:rsidRDefault="002F1CEF" w:rsidP="00B344FD">
      <w:pPr>
        <w:spacing w:after="0" w:line="240" w:lineRule="auto"/>
        <w:ind w:left="1440"/>
        <w:jc w:val="both"/>
        <w:rPr>
          <w:rFonts w:eastAsia="Times New Roman" w:cs="Times New Roman"/>
          <w:szCs w:val="24"/>
        </w:rPr>
      </w:pPr>
      <w:r>
        <w:rPr>
          <w:rFonts w:eastAsia="Times New Roman" w:cs="Times New Roman"/>
          <w:szCs w:val="24"/>
        </w:rPr>
        <w:t xml:space="preserve">(c) Requires a nationally listed corporation to </w:t>
      </w:r>
      <w:r w:rsidRPr="00DD7343">
        <w:rPr>
          <w:rFonts w:eastAsia="Times New Roman" w:cs="Times New Roman"/>
          <w:szCs w:val="24"/>
        </w:rPr>
        <w:t>provide notice to</w:t>
      </w:r>
      <w:r>
        <w:rPr>
          <w:rFonts w:eastAsia="Times New Roman" w:cs="Times New Roman"/>
          <w:szCs w:val="24"/>
        </w:rPr>
        <w:t xml:space="preserve"> </w:t>
      </w:r>
      <w:r w:rsidRPr="00DD7343">
        <w:rPr>
          <w:rFonts w:eastAsia="Times New Roman" w:cs="Times New Roman"/>
          <w:szCs w:val="24"/>
        </w:rPr>
        <w:t>shareholders of the proposed adoption of an amendment under</w:t>
      </w:r>
      <w:r>
        <w:rPr>
          <w:rFonts w:eastAsia="Times New Roman" w:cs="Times New Roman"/>
          <w:szCs w:val="24"/>
        </w:rPr>
        <w:t xml:space="preserve"> </w:t>
      </w:r>
      <w:r w:rsidRPr="00DD7343">
        <w:rPr>
          <w:rFonts w:eastAsia="Times New Roman" w:cs="Times New Roman"/>
          <w:szCs w:val="24"/>
        </w:rPr>
        <w:t>Subsection (b) in any proxy statement provided to shareholders</w:t>
      </w:r>
      <w:r>
        <w:rPr>
          <w:rFonts w:eastAsia="Times New Roman" w:cs="Times New Roman"/>
          <w:szCs w:val="24"/>
        </w:rPr>
        <w:t xml:space="preserve"> </w:t>
      </w:r>
      <w:r w:rsidRPr="00DD7343">
        <w:rPr>
          <w:rFonts w:eastAsia="Times New Roman" w:cs="Times New Roman"/>
          <w:szCs w:val="24"/>
        </w:rPr>
        <w:t>preceding the amendment</w:t>
      </w:r>
      <w:r>
        <w:rPr>
          <w:rFonts w:eastAsia="Times New Roman" w:cs="Times New Roman"/>
          <w:szCs w:val="24"/>
        </w:rPr>
        <w:t>'</w:t>
      </w:r>
      <w:r w:rsidRPr="00DD7343">
        <w:rPr>
          <w:rFonts w:eastAsia="Times New Roman" w:cs="Times New Roman"/>
          <w:szCs w:val="24"/>
        </w:rPr>
        <w:t>s adoption.</w:t>
      </w:r>
    </w:p>
    <w:p w:rsidR="002F1CEF" w:rsidRDefault="002F1CEF" w:rsidP="00B344FD">
      <w:pPr>
        <w:spacing w:after="0" w:line="240" w:lineRule="auto"/>
        <w:ind w:left="1440"/>
        <w:jc w:val="both"/>
        <w:rPr>
          <w:rFonts w:eastAsia="Times New Roman" w:cs="Times New Roman"/>
          <w:szCs w:val="24"/>
        </w:rPr>
      </w:pPr>
    </w:p>
    <w:p w:rsidR="002F1CEF" w:rsidRDefault="002F1CEF" w:rsidP="00B344FD">
      <w:pPr>
        <w:spacing w:after="0" w:line="240" w:lineRule="auto"/>
        <w:ind w:left="1440"/>
        <w:jc w:val="both"/>
        <w:rPr>
          <w:rFonts w:eastAsia="Times New Roman" w:cs="Times New Roman"/>
          <w:szCs w:val="24"/>
        </w:rPr>
      </w:pPr>
      <w:r>
        <w:rPr>
          <w:rFonts w:eastAsia="Times New Roman" w:cs="Times New Roman"/>
          <w:szCs w:val="24"/>
        </w:rPr>
        <w:t>(d) Requires a shareholder or group of shareholders, except as provided by Subsection (e) and subject to the corporation's governing documents, to submit a proposal on a matter to the shareholders for approval at a meeting of shareholders, to:</w:t>
      </w:r>
    </w:p>
    <w:p w:rsidR="002F1CEF" w:rsidRDefault="002F1CEF" w:rsidP="00B344FD">
      <w:pPr>
        <w:spacing w:after="0" w:line="240" w:lineRule="auto"/>
        <w:ind w:left="1440"/>
        <w:jc w:val="both"/>
        <w:rPr>
          <w:rFonts w:eastAsia="Times New Roman" w:cs="Times New Roman"/>
          <w:szCs w:val="24"/>
        </w:rPr>
      </w:pPr>
    </w:p>
    <w:p w:rsidR="002F1CEF" w:rsidRDefault="002F1CEF" w:rsidP="00B344FD">
      <w:pPr>
        <w:spacing w:after="0" w:line="240" w:lineRule="auto"/>
        <w:ind w:left="2160"/>
        <w:jc w:val="both"/>
        <w:rPr>
          <w:rFonts w:eastAsia="Times New Roman" w:cs="Times New Roman"/>
          <w:szCs w:val="24"/>
        </w:rPr>
      </w:pPr>
      <w:r>
        <w:rPr>
          <w:rFonts w:eastAsia="Times New Roman" w:cs="Times New Roman"/>
          <w:szCs w:val="24"/>
        </w:rPr>
        <w:t>(1)</w:t>
      </w:r>
      <w:r w:rsidRPr="00DD7343">
        <w:rPr>
          <w:rFonts w:ascii="Courier" w:hAnsi="Courier" w:cs="Courier"/>
          <w:sz w:val="20"/>
          <w:szCs w:val="20"/>
        </w:rPr>
        <w:t xml:space="preserve"> </w:t>
      </w:r>
      <w:r w:rsidRPr="00DD7343">
        <w:rPr>
          <w:rFonts w:eastAsia="Times New Roman" w:cs="Times New Roman"/>
          <w:szCs w:val="24"/>
        </w:rPr>
        <w:t>hold an amount of voting shares of the</w:t>
      </w:r>
      <w:r>
        <w:rPr>
          <w:rFonts w:eastAsia="Times New Roman" w:cs="Times New Roman"/>
          <w:szCs w:val="24"/>
        </w:rPr>
        <w:t xml:space="preserve"> </w:t>
      </w:r>
      <w:r w:rsidRPr="00DD7343">
        <w:rPr>
          <w:rFonts w:eastAsia="Times New Roman" w:cs="Times New Roman"/>
          <w:szCs w:val="24"/>
        </w:rPr>
        <w:t>corporation, determined as of the date of submission of the</w:t>
      </w:r>
      <w:r>
        <w:rPr>
          <w:rFonts w:eastAsia="Times New Roman" w:cs="Times New Roman"/>
          <w:szCs w:val="24"/>
        </w:rPr>
        <w:t xml:space="preserve"> </w:t>
      </w:r>
      <w:r w:rsidRPr="00DD7343">
        <w:rPr>
          <w:rFonts w:eastAsia="Times New Roman" w:cs="Times New Roman"/>
          <w:szCs w:val="24"/>
        </w:rPr>
        <w:t>proposal, equal to at least</w:t>
      </w:r>
      <w:r>
        <w:rPr>
          <w:rFonts w:eastAsia="Times New Roman" w:cs="Times New Roman"/>
          <w:szCs w:val="24"/>
        </w:rPr>
        <w:t xml:space="preserve"> </w:t>
      </w:r>
      <w:r w:rsidRPr="00DD7343">
        <w:rPr>
          <w:rFonts w:eastAsia="Times New Roman" w:cs="Times New Roman"/>
          <w:szCs w:val="24"/>
        </w:rPr>
        <w:t>$1 million in market value or</w:t>
      </w:r>
      <w:r>
        <w:rPr>
          <w:rFonts w:eastAsia="Times New Roman" w:cs="Times New Roman"/>
          <w:szCs w:val="24"/>
        </w:rPr>
        <w:t xml:space="preserve"> </w:t>
      </w:r>
      <w:r w:rsidRPr="00DD7343">
        <w:rPr>
          <w:rFonts w:eastAsia="Times New Roman" w:cs="Times New Roman"/>
          <w:szCs w:val="24"/>
        </w:rPr>
        <w:t>three percent of the corporation</w:t>
      </w:r>
      <w:r>
        <w:rPr>
          <w:rFonts w:eastAsia="Times New Roman" w:cs="Times New Roman"/>
          <w:szCs w:val="24"/>
        </w:rPr>
        <w:t>'</w:t>
      </w:r>
      <w:r w:rsidRPr="00DD7343">
        <w:rPr>
          <w:rFonts w:eastAsia="Times New Roman" w:cs="Times New Roman"/>
          <w:szCs w:val="24"/>
        </w:rPr>
        <w:t>s voting</w:t>
      </w:r>
      <w:r>
        <w:rPr>
          <w:rFonts w:eastAsia="Times New Roman" w:cs="Times New Roman"/>
          <w:szCs w:val="24"/>
        </w:rPr>
        <w:t xml:space="preserve"> </w:t>
      </w:r>
      <w:r w:rsidRPr="00DD7343">
        <w:rPr>
          <w:rFonts w:eastAsia="Times New Roman" w:cs="Times New Roman"/>
          <w:szCs w:val="24"/>
        </w:rPr>
        <w:t>shares</w:t>
      </w:r>
      <w:r>
        <w:rPr>
          <w:rFonts w:eastAsia="Times New Roman" w:cs="Times New Roman"/>
          <w:szCs w:val="24"/>
        </w:rPr>
        <w:t>;</w:t>
      </w:r>
    </w:p>
    <w:p w:rsidR="002F1CEF" w:rsidRDefault="002F1CEF" w:rsidP="00B344FD">
      <w:pPr>
        <w:spacing w:after="0" w:line="240" w:lineRule="auto"/>
        <w:ind w:left="2160"/>
        <w:jc w:val="both"/>
        <w:rPr>
          <w:rFonts w:eastAsia="Times New Roman" w:cs="Times New Roman"/>
          <w:szCs w:val="24"/>
        </w:rPr>
      </w:pPr>
    </w:p>
    <w:p w:rsidR="002F1CEF" w:rsidRDefault="002F1CEF" w:rsidP="00B344FD">
      <w:pPr>
        <w:spacing w:after="0" w:line="240" w:lineRule="auto"/>
        <w:ind w:left="2160"/>
        <w:jc w:val="both"/>
        <w:rPr>
          <w:rFonts w:eastAsia="Times New Roman" w:cs="Times New Roman"/>
          <w:szCs w:val="24"/>
        </w:rPr>
      </w:pPr>
      <w:r>
        <w:rPr>
          <w:rFonts w:eastAsia="Times New Roman" w:cs="Times New Roman"/>
          <w:szCs w:val="24"/>
        </w:rPr>
        <w:t xml:space="preserve">(2) </w:t>
      </w:r>
      <w:r w:rsidRPr="00DD7343">
        <w:rPr>
          <w:rFonts w:eastAsia="Times New Roman" w:cs="Times New Roman"/>
          <w:szCs w:val="24"/>
        </w:rPr>
        <w:t>hold the shares described by Subdivision (1)</w:t>
      </w:r>
      <w:r>
        <w:rPr>
          <w:rFonts w:eastAsia="Times New Roman" w:cs="Times New Roman"/>
          <w:szCs w:val="24"/>
        </w:rPr>
        <w:t xml:space="preserve"> </w:t>
      </w:r>
      <w:r w:rsidRPr="00DD7343">
        <w:rPr>
          <w:rFonts w:eastAsia="Times New Roman" w:cs="Times New Roman"/>
          <w:szCs w:val="24"/>
        </w:rPr>
        <w:t>for a continuous period of least six months</w:t>
      </w:r>
      <w:r>
        <w:rPr>
          <w:rFonts w:eastAsia="Times New Roman" w:cs="Times New Roman"/>
          <w:szCs w:val="24"/>
        </w:rPr>
        <w:t xml:space="preserve"> </w:t>
      </w:r>
      <w:r w:rsidRPr="00DD7343">
        <w:rPr>
          <w:rFonts w:eastAsia="Times New Roman" w:cs="Times New Roman"/>
          <w:szCs w:val="24"/>
        </w:rPr>
        <w:t>before the date of the meeting</w:t>
      </w:r>
      <w:r>
        <w:rPr>
          <w:rFonts w:eastAsia="Times New Roman" w:cs="Times New Roman"/>
          <w:szCs w:val="24"/>
        </w:rPr>
        <w:t xml:space="preserve"> </w:t>
      </w:r>
      <w:r w:rsidRPr="00DD7343">
        <w:rPr>
          <w:rFonts w:eastAsia="Times New Roman" w:cs="Times New Roman"/>
          <w:szCs w:val="24"/>
        </w:rPr>
        <w:t>and</w:t>
      </w:r>
      <w:r>
        <w:rPr>
          <w:rFonts w:eastAsia="Times New Roman" w:cs="Times New Roman"/>
          <w:szCs w:val="24"/>
        </w:rPr>
        <w:t xml:space="preserve"> </w:t>
      </w:r>
      <w:r w:rsidRPr="00DD7343">
        <w:rPr>
          <w:rFonts w:eastAsia="Times New Roman" w:cs="Times New Roman"/>
          <w:szCs w:val="24"/>
        </w:rPr>
        <w:t>throughout the entire duration of the</w:t>
      </w:r>
      <w:r>
        <w:rPr>
          <w:rFonts w:eastAsia="Times New Roman" w:cs="Times New Roman"/>
          <w:szCs w:val="24"/>
        </w:rPr>
        <w:t xml:space="preserve"> </w:t>
      </w:r>
      <w:r w:rsidRPr="00DD7343">
        <w:rPr>
          <w:rFonts w:eastAsia="Times New Roman" w:cs="Times New Roman"/>
          <w:szCs w:val="24"/>
        </w:rPr>
        <w:t>meeting</w:t>
      </w:r>
      <w:r>
        <w:rPr>
          <w:rFonts w:eastAsia="Times New Roman" w:cs="Times New Roman"/>
          <w:szCs w:val="24"/>
        </w:rPr>
        <w:t xml:space="preserve">; and </w:t>
      </w:r>
    </w:p>
    <w:p w:rsidR="002F1CEF" w:rsidRDefault="002F1CEF" w:rsidP="00B344FD">
      <w:pPr>
        <w:spacing w:after="0" w:line="240" w:lineRule="auto"/>
        <w:ind w:left="2160"/>
        <w:jc w:val="both"/>
        <w:rPr>
          <w:rFonts w:eastAsia="Times New Roman" w:cs="Times New Roman"/>
          <w:szCs w:val="24"/>
        </w:rPr>
      </w:pPr>
    </w:p>
    <w:p w:rsidR="002F1CEF" w:rsidRDefault="002F1CEF" w:rsidP="00B344FD">
      <w:pPr>
        <w:spacing w:after="0" w:line="240" w:lineRule="auto"/>
        <w:ind w:left="2160"/>
        <w:jc w:val="both"/>
        <w:rPr>
          <w:rFonts w:eastAsia="Times New Roman" w:cs="Times New Roman"/>
          <w:szCs w:val="24"/>
        </w:rPr>
      </w:pPr>
      <w:r>
        <w:rPr>
          <w:rFonts w:eastAsia="Times New Roman" w:cs="Times New Roman"/>
          <w:szCs w:val="24"/>
        </w:rPr>
        <w:t xml:space="preserve">(3) </w:t>
      </w:r>
      <w:r w:rsidRPr="00DD7343">
        <w:rPr>
          <w:rFonts w:eastAsia="Times New Roman" w:cs="Times New Roman"/>
          <w:szCs w:val="24"/>
        </w:rPr>
        <w:t>solicit the holders of shares representing at</w:t>
      </w:r>
      <w:r>
        <w:rPr>
          <w:rFonts w:eastAsia="Times New Roman" w:cs="Times New Roman"/>
          <w:szCs w:val="24"/>
        </w:rPr>
        <w:t xml:space="preserve"> </w:t>
      </w:r>
      <w:r w:rsidRPr="00DD7343">
        <w:rPr>
          <w:rFonts w:eastAsia="Times New Roman" w:cs="Times New Roman"/>
          <w:szCs w:val="24"/>
        </w:rPr>
        <w:t>least 67 percent of the voting power of shares entitled to vote on</w:t>
      </w:r>
      <w:r>
        <w:rPr>
          <w:rFonts w:eastAsia="Times New Roman" w:cs="Times New Roman"/>
          <w:szCs w:val="24"/>
        </w:rPr>
        <w:t xml:space="preserve"> </w:t>
      </w:r>
      <w:r w:rsidRPr="00DD7343">
        <w:rPr>
          <w:rFonts w:eastAsia="Times New Roman" w:cs="Times New Roman"/>
          <w:szCs w:val="24"/>
        </w:rPr>
        <w:t>the proposal.</w:t>
      </w:r>
    </w:p>
    <w:p w:rsidR="002F1CEF" w:rsidRDefault="002F1CEF" w:rsidP="00B344FD">
      <w:pPr>
        <w:spacing w:after="0" w:line="240" w:lineRule="auto"/>
        <w:ind w:left="2160"/>
        <w:jc w:val="both"/>
        <w:rPr>
          <w:rFonts w:eastAsia="Times New Roman" w:cs="Times New Roman"/>
          <w:szCs w:val="24"/>
        </w:rPr>
      </w:pPr>
    </w:p>
    <w:p w:rsidR="002F1CEF" w:rsidRPr="005C2A78" w:rsidRDefault="002F1CEF" w:rsidP="00B344FD">
      <w:pPr>
        <w:spacing w:after="0" w:line="240" w:lineRule="auto"/>
        <w:ind w:left="1440"/>
        <w:jc w:val="both"/>
        <w:rPr>
          <w:rFonts w:eastAsia="Times New Roman" w:cs="Times New Roman"/>
          <w:szCs w:val="24"/>
        </w:rPr>
      </w:pPr>
      <w:r>
        <w:rPr>
          <w:rFonts w:eastAsia="Times New Roman" w:cs="Times New Roman"/>
          <w:szCs w:val="24"/>
        </w:rPr>
        <w:t xml:space="preserve">(e) Provides that Subsection (d) does not apply to director nominations and procedural resolutions that are ancillary to the conduct of the meeting. </w:t>
      </w:r>
    </w:p>
    <w:p w:rsidR="002F1CEF" w:rsidRPr="005C2A78" w:rsidRDefault="002F1CEF" w:rsidP="00B344FD">
      <w:pPr>
        <w:spacing w:after="0" w:line="240" w:lineRule="auto"/>
        <w:jc w:val="both"/>
        <w:rPr>
          <w:rFonts w:eastAsia="Times New Roman" w:cs="Times New Roman"/>
          <w:szCs w:val="24"/>
        </w:rPr>
      </w:pPr>
    </w:p>
    <w:p w:rsidR="002F1CEF" w:rsidRPr="00C8671F" w:rsidRDefault="002F1CEF" w:rsidP="00B344F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2F1CE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7722" w:rsidRDefault="00B87722" w:rsidP="000F1DF9">
      <w:pPr>
        <w:spacing w:after="0" w:line="240" w:lineRule="auto"/>
      </w:pPr>
      <w:r>
        <w:separator/>
      </w:r>
    </w:p>
  </w:endnote>
  <w:endnote w:type="continuationSeparator" w:id="0">
    <w:p w:rsidR="00B87722" w:rsidRDefault="00B8772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8772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1CE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1CEF">
                <w:rPr>
                  <w:sz w:val="20"/>
                  <w:szCs w:val="20"/>
                </w:rPr>
                <w:t>C.S.S.B. 1057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1CE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8772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7722" w:rsidRDefault="00B87722" w:rsidP="000F1DF9">
      <w:pPr>
        <w:spacing w:after="0" w:line="240" w:lineRule="auto"/>
      </w:pPr>
      <w:r>
        <w:separator/>
      </w:r>
    </w:p>
  </w:footnote>
  <w:footnote w:type="continuationSeparator" w:id="0">
    <w:p w:rsidR="00B87722" w:rsidRDefault="00B8772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1CE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6F12"/>
    <w:rsid w:val="00774EC7"/>
    <w:rsid w:val="00833061"/>
    <w:rsid w:val="008A6859"/>
    <w:rsid w:val="0093341F"/>
    <w:rsid w:val="009562E3"/>
    <w:rsid w:val="00986E9F"/>
    <w:rsid w:val="00AE3F44"/>
    <w:rsid w:val="00B43543"/>
    <w:rsid w:val="00B53F07"/>
    <w:rsid w:val="00B87722"/>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361D"/>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1150F"/>
  <w15:docId w15:val="{EDA4BACC-1A39-49BF-8936-91248A07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F1CE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01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110324289F248B0A823CAA91C78F3ED"/>
        <w:category>
          <w:name w:val="General"/>
          <w:gallery w:val="placeholder"/>
        </w:category>
        <w:types>
          <w:type w:val="bbPlcHdr"/>
        </w:types>
        <w:behaviors>
          <w:behavior w:val="content"/>
        </w:behaviors>
        <w:guid w:val="{88F5338D-34A6-49CB-B71D-2B40A1ACF5C6}"/>
      </w:docPartPr>
      <w:docPartBody>
        <w:p w:rsidR="00423335" w:rsidRDefault="00423335"/>
      </w:docPartBody>
    </w:docPart>
    <w:docPart>
      <w:docPartPr>
        <w:name w:val="8EC483CF9B4B449BB8F024EFB677E531"/>
        <w:category>
          <w:name w:val="General"/>
          <w:gallery w:val="placeholder"/>
        </w:category>
        <w:types>
          <w:type w:val="bbPlcHdr"/>
        </w:types>
        <w:behaviors>
          <w:behavior w:val="content"/>
        </w:behaviors>
        <w:guid w:val="{FB31F32B-1CD1-4780-A47C-4FBEF97FA6A3}"/>
      </w:docPartPr>
      <w:docPartBody>
        <w:p w:rsidR="00423335" w:rsidRDefault="00423335"/>
      </w:docPartBody>
    </w:docPart>
    <w:docPart>
      <w:docPartPr>
        <w:name w:val="AC9B295748FD45AEB90BB8125FFF0E6D"/>
        <w:category>
          <w:name w:val="General"/>
          <w:gallery w:val="placeholder"/>
        </w:category>
        <w:types>
          <w:type w:val="bbPlcHdr"/>
        </w:types>
        <w:behaviors>
          <w:behavior w:val="content"/>
        </w:behaviors>
        <w:guid w:val="{8101BAF4-C2AB-41D6-8C5E-FF3C24BD6FD9}"/>
      </w:docPartPr>
      <w:docPartBody>
        <w:p w:rsidR="00423335" w:rsidRDefault="00423335"/>
      </w:docPartBody>
    </w:docPart>
    <w:docPart>
      <w:docPartPr>
        <w:name w:val="98DE53130D8341F48D38529E9AE103B3"/>
        <w:category>
          <w:name w:val="General"/>
          <w:gallery w:val="placeholder"/>
        </w:category>
        <w:types>
          <w:type w:val="bbPlcHdr"/>
        </w:types>
        <w:behaviors>
          <w:behavior w:val="content"/>
        </w:behaviors>
        <w:guid w:val="{881731DC-39AA-4BB6-980B-64CDAACADBB3}"/>
      </w:docPartPr>
      <w:docPartBody>
        <w:p w:rsidR="00423335" w:rsidRDefault="00423335"/>
      </w:docPartBody>
    </w:docPart>
    <w:docPart>
      <w:docPartPr>
        <w:name w:val="D687DCF3DC50488D976F89A3F20ADF50"/>
        <w:category>
          <w:name w:val="General"/>
          <w:gallery w:val="placeholder"/>
        </w:category>
        <w:types>
          <w:type w:val="bbPlcHdr"/>
        </w:types>
        <w:behaviors>
          <w:behavior w:val="content"/>
        </w:behaviors>
        <w:guid w:val="{3BFDB971-DAD8-4996-A7B5-598BE43E6F19}"/>
      </w:docPartPr>
      <w:docPartBody>
        <w:p w:rsidR="00423335" w:rsidRDefault="00423335"/>
      </w:docPartBody>
    </w:docPart>
    <w:docPart>
      <w:docPartPr>
        <w:name w:val="7A0E6A79127C4A0381AB07269655BA1F"/>
        <w:category>
          <w:name w:val="General"/>
          <w:gallery w:val="placeholder"/>
        </w:category>
        <w:types>
          <w:type w:val="bbPlcHdr"/>
        </w:types>
        <w:behaviors>
          <w:behavior w:val="content"/>
        </w:behaviors>
        <w:guid w:val="{002E4C2B-6C3B-420E-9412-5576E1168FF9}"/>
      </w:docPartPr>
      <w:docPartBody>
        <w:p w:rsidR="00423335" w:rsidRDefault="00423335"/>
      </w:docPartBody>
    </w:docPart>
    <w:docPart>
      <w:docPartPr>
        <w:name w:val="E0E2E26735654FE2B75E6951BBF29473"/>
        <w:category>
          <w:name w:val="General"/>
          <w:gallery w:val="placeholder"/>
        </w:category>
        <w:types>
          <w:type w:val="bbPlcHdr"/>
        </w:types>
        <w:behaviors>
          <w:behavior w:val="content"/>
        </w:behaviors>
        <w:guid w:val="{9E01D95F-292F-4C9C-8016-E024AEAAF2C6}"/>
      </w:docPartPr>
      <w:docPartBody>
        <w:p w:rsidR="00423335" w:rsidRDefault="00423335"/>
      </w:docPartBody>
    </w:docPart>
    <w:docPart>
      <w:docPartPr>
        <w:name w:val="19D0764FF26F472E82AA6C5B1FD03C80"/>
        <w:category>
          <w:name w:val="General"/>
          <w:gallery w:val="placeholder"/>
        </w:category>
        <w:types>
          <w:type w:val="bbPlcHdr"/>
        </w:types>
        <w:behaviors>
          <w:behavior w:val="content"/>
        </w:behaviors>
        <w:guid w:val="{E359C9EF-FE62-44DC-829C-A9C15077C83B}"/>
      </w:docPartPr>
      <w:docPartBody>
        <w:p w:rsidR="00423335" w:rsidRDefault="00423335"/>
      </w:docPartBody>
    </w:docPart>
    <w:docPart>
      <w:docPartPr>
        <w:name w:val="862CB2DB65C048009BF148C5FD1EE1C2"/>
        <w:category>
          <w:name w:val="General"/>
          <w:gallery w:val="placeholder"/>
        </w:category>
        <w:types>
          <w:type w:val="bbPlcHdr"/>
        </w:types>
        <w:behaviors>
          <w:behavior w:val="content"/>
        </w:behaviors>
        <w:guid w:val="{40586DEE-2845-458E-B087-8D6CF28DB90D}"/>
      </w:docPartPr>
      <w:docPartBody>
        <w:p w:rsidR="00423335" w:rsidRDefault="00423335"/>
      </w:docPartBody>
    </w:docPart>
    <w:docPart>
      <w:docPartPr>
        <w:name w:val="814AD04BB0CC4245BE4EBB0F4AE8F9D8"/>
        <w:category>
          <w:name w:val="General"/>
          <w:gallery w:val="placeholder"/>
        </w:category>
        <w:types>
          <w:type w:val="bbPlcHdr"/>
        </w:types>
        <w:behaviors>
          <w:behavior w:val="content"/>
        </w:behaviors>
        <w:guid w:val="{1DBABA90-45E0-48E2-94EC-44869E4CA73A}"/>
      </w:docPartPr>
      <w:docPartBody>
        <w:p w:rsidR="00423335" w:rsidRDefault="00F40771" w:rsidP="00F40771">
          <w:pPr>
            <w:pStyle w:val="814AD04BB0CC4245BE4EBB0F4AE8F9D8"/>
          </w:pPr>
          <w:r w:rsidRPr="00A30DD1">
            <w:rPr>
              <w:rStyle w:val="PlaceholderText"/>
            </w:rPr>
            <w:t>Click here to enter a date.</w:t>
          </w:r>
        </w:p>
      </w:docPartBody>
    </w:docPart>
    <w:docPart>
      <w:docPartPr>
        <w:name w:val="C18B5373ECC24766B23FE85E5C4D6FBB"/>
        <w:category>
          <w:name w:val="General"/>
          <w:gallery w:val="placeholder"/>
        </w:category>
        <w:types>
          <w:type w:val="bbPlcHdr"/>
        </w:types>
        <w:behaviors>
          <w:behavior w:val="content"/>
        </w:behaviors>
        <w:guid w:val="{80332465-BEE1-4D5C-90C5-1FE733923922}"/>
      </w:docPartPr>
      <w:docPartBody>
        <w:p w:rsidR="00423335" w:rsidRDefault="00423335"/>
      </w:docPartBody>
    </w:docPart>
    <w:docPart>
      <w:docPartPr>
        <w:name w:val="54684C2D92B841FA9A719D104DCDF993"/>
        <w:category>
          <w:name w:val="General"/>
          <w:gallery w:val="placeholder"/>
        </w:category>
        <w:types>
          <w:type w:val="bbPlcHdr"/>
        </w:types>
        <w:behaviors>
          <w:behavior w:val="content"/>
        </w:behaviors>
        <w:guid w:val="{AE81554E-F9DE-4B2D-98E7-E81A889E54A5}"/>
      </w:docPartPr>
      <w:docPartBody>
        <w:p w:rsidR="00423335" w:rsidRDefault="00423335"/>
      </w:docPartBody>
    </w:docPart>
    <w:docPart>
      <w:docPartPr>
        <w:name w:val="3E27C5B002E340B59A9BF3943658DDDC"/>
        <w:category>
          <w:name w:val="General"/>
          <w:gallery w:val="placeholder"/>
        </w:category>
        <w:types>
          <w:type w:val="bbPlcHdr"/>
        </w:types>
        <w:behaviors>
          <w:behavior w:val="content"/>
        </w:behaviors>
        <w:guid w:val="{7EA498E7-9174-4477-A581-57BFB9745248}"/>
      </w:docPartPr>
      <w:docPartBody>
        <w:p w:rsidR="00423335" w:rsidRDefault="00F40771" w:rsidP="00F40771">
          <w:pPr>
            <w:pStyle w:val="3E27C5B002E340B59A9BF3943658DDDC"/>
          </w:pPr>
          <w:r>
            <w:rPr>
              <w:rFonts w:eastAsia="Times New Roman" w:cs="Times New Roman"/>
              <w:bCs/>
            </w:rPr>
            <w:t xml:space="preserve"> </w:t>
          </w:r>
        </w:p>
      </w:docPartBody>
    </w:docPart>
    <w:docPart>
      <w:docPartPr>
        <w:name w:val="C986EF9124EF4B94A998D1217D416235"/>
        <w:category>
          <w:name w:val="General"/>
          <w:gallery w:val="placeholder"/>
        </w:category>
        <w:types>
          <w:type w:val="bbPlcHdr"/>
        </w:types>
        <w:behaviors>
          <w:behavior w:val="content"/>
        </w:behaviors>
        <w:guid w:val="{43C522EB-9AF1-475D-B191-A1669DBF6F85}"/>
      </w:docPartPr>
      <w:docPartBody>
        <w:p w:rsidR="00423335" w:rsidRDefault="00423335"/>
      </w:docPartBody>
    </w:docPart>
    <w:docPart>
      <w:docPartPr>
        <w:name w:val="22BB8BE6B8EC462B954A2E4D72C567F2"/>
        <w:category>
          <w:name w:val="General"/>
          <w:gallery w:val="placeholder"/>
        </w:category>
        <w:types>
          <w:type w:val="bbPlcHdr"/>
        </w:types>
        <w:behaviors>
          <w:behavior w:val="content"/>
        </w:behaviors>
        <w:guid w:val="{016A50C7-4C6E-4A18-B908-978327848680}"/>
      </w:docPartPr>
      <w:docPartBody>
        <w:p w:rsidR="00423335" w:rsidRDefault="00423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333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40771"/>
    <w:rsid w:val="00FC1327"/>
    <w:rsid w:val="00FF3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771"/>
    <w:rPr>
      <w:color w:val="808080"/>
    </w:rPr>
  </w:style>
  <w:style w:type="paragraph" w:customStyle="1" w:styleId="814AD04BB0CC4245BE4EBB0F4AE8F9D8">
    <w:name w:val="814AD04BB0CC4245BE4EBB0F4AE8F9D8"/>
    <w:rsid w:val="00F40771"/>
    <w:pPr>
      <w:spacing w:after="160" w:line="278" w:lineRule="auto"/>
    </w:pPr>
    <w:rPr>
      <w:kern w:val="2"/>
      <w:sz w:val="24"/>
      <w:szCs w:val="24"/>
      <w14:ligatures w14:val="standardContextual"/>
    </w:rPr>
  </w:style>
  <w:style w:type="paragraph" w:customStyle="1" w:styleId="3E27C5B002E340B59A9BF3943658DDDC">
    <w:name w:val="3E27C5B002E340B59A9BF3943658DDDC"/>
    <w:rsid w:val="00F4077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863</Words>
  <Characters>4923</Characters>
  <Application>Microsoft Office Word</Application>
  <DocSecurity>0</DocSecurity>
  <Lines>41</Lines>
  <Paragraphs>11</Paragraphs>
  <ScaleCrop>false</ScaleCrop>
  <Company>Texas Legislative Council</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2025-03-18T14:50:00Z</cp:lastPrinted>
  <dcterms:created xsi:type="dcterms:W3CDTF">2015-05-29T14:24:00Z</dcterms:created>
  <dcterms:modified xsi:type="dcterms:W3CDTF">2025-03-18T14:50:00Z</dcterms:modified>
</cp:coreProperties>
</file>

<file path=docProps/custom.xml><?xml version="1.0" encoding="utf-8"?>
<op:Properties xmlns:vt="http://schemas.openxmlformats.org/officeDocument/2006/docPropsVTypes" xmlns:op="http://schemas.openxmlformats.org/officeDocument/2006/custom-properties"/>
</file>