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A5A02" w14:paraId="2EB37FBB" w14:textId="77777777" w:rsidTr="00345119">
        <w:tc>
          <w:tcPr>
            <w:tcW w:w="9576" w:type="dxa"/>
            <w:noWrap/>
          </w:tcPr>
          <w:p w14:paraId="5FC1F3D1" w14:textId="77777777" w:rsidR="008423E4" w:rsidRPr="0022177D" w:rsidRDefault="007C03A9" w:rsidP="00E31224">
            <w:pPr>
              <w:pStyle w:val="Heading1"/>
            </w:pPr>
            <w:r w:rsidRPr="00631897">
              <w:t>BILL ANALYSIS</w:t>
            </w:r>
          </w:p>
        </w:tc>
      </w:tr>
    </w:tbl>
    <w:p w14:paraId="3737E481" w14:textId="77777777" w:rsidR="008423E4" w:rsidRPr="0022177D" w:rsidRDefault="008423E4" w:rsidP="00E31224">
      <w:pPr>
        <w:jc w:val="center"/>
      </w:pPr>
    </w:p>
    <w:p w14:paraId="7645EBD9" w14:textId="77777777" w:rsidR="008423E4" w:rsidRPr="00B31F0E" w:rsidRDefault="008423E4" w:rsidP="00E31224"/>
    <w:p w14:paraId="7375CC81" w14:textId="77777777" w:rsidR="008423E4" w:rsidRPr="00742794" w:rsidRDefault="008423E4" w:rsidP="00E31224">
      <w:pPr>
        <w:tabs>
          <w:tab w:val="right" w:pos="9360"/>
        </w:tabs>
      </w:pPr>
    </w:p>
    <w:tbl>
      <w:tblPr>
        <w:tblW w:w="0" w:type="auto"/>
        <w:tblLayout w:type="fixed"/>
        <w:tblLook w:val="01E0" w:firstRow="1" w:lastRow="1" w:firstColumn="1" w:lastColumn="1" w:noHBand="0" w:noVBand="0"/>
      </w:tblPr>
      <w:tblGrid>
        <w:gridCol w:w="9576"/>
      </w:tblGrid>
      <w:tr w:rsidR="002A5A02" w14:paraId="141B3B38" w14:textId="77777777" w:rsidTr="00345119">
        <w:tc>
          <w:tcPr>
            <w:tcW w:w="9576" w:type="dxa"/>
          </w:tcPr>
          <w:p w14:paraId="093367A1" w14:textId="4A4DD3A1" w:rsidR="008423E4" w:rsidRPr="00861995" w:rsidRDefault="007C03A9" w:rsidP="00E31224">
            <w:pPr>
              <w:jc w:val="right"/>
            </w:pPr>
            <w:r>
              <w:t>C.S.S.B. 1150</w:t>
            </w:r>
          </w:p>
        </w:tc>
      </w:tr>
      <w:tr w:rsidR="002A5A02" w14:paraId="003DA947" w14:textId="77777777" w:rsidTr="00345119">
        <w:tc>
          <w:tcPr>
            <w:tcW w:w="9576" w:type="dxa"/>
          </w:tcPr>
          <w:p w14:paraId="73BBA1DE" w14:textId="54BF4F30" w:rsidR="008423E4" w:rsidRPr="00861995" w:rsidRDefault="007C03A9" w:rsidP="00E31224">
            <w:pPr>
              <w:jc w:val="right"/>
            </w:pPr>
            <w:r>
              <w:t xml:space="preserve">By: </w:t>
            </w:r>
            <w:r w:rsidR="00A67A8B">
              <w:t>Middleton</w:t>
            </w:r>
          </w:p>
        </w:tc>
      </w:tr>
      <w:tr w:rsidR="002A5A02" w14:paraId="37E0E6C6" w14:textId="77777777" w:rsidTr="00345119">
        <w:tc>
          <w:tcPr>
            <w:tcW w:w="9576" w:type="dxa"/>
          </w:tcPr>
          <w:p w14:paraId="5893C45C" w14:textId="26BCB69C" w:rsidR="008423E4" w:rsidRPr="00861995" w:rsidRDefault="007C03A9" w:rsidP="00E31224">
            <w:pPr>
              <w:jc w:val="right"/>
            </w:pPr>
            <w:r>
              <w:t>Energy Resources</w:t>
            </w:r>
          </w:p>
        </w:tc>
      </w:tr>
      <w:tr w:rsidR="002A5A02" w14:paraId="4B5E8E04" w14:textId="77777777" w:rsidTr="00345119">
        <w:tc>
          <w:tcPr>
            <w:tcW w:w="9576" w:type="dxa"/>
          </w:tcPr>
          <w:p w14:paraId="4A020AA1" w14:textId="06CAFBD5" w:rsidR="008423E4" w:rsidRDefault="007C03A9" w:rsidP="00E31224">
            <w:pPr>
              <w:jc w:val="right"/>
            </w:pPr>
            <w:r>
              <w:t>Committee Report (Substituted)</w:t>
            </w:r>
          </w:p>
        </w:tc>
      </w:tr>
    </w:tbl>
    <w:p w14:paraId="057B0CE5" w14:textId="77777777" w:rsidR="008423E4" w:rsidRDefault="008423E4" w:rsidP="00E31224">
      <w:pPr>
        <w:tabs>
          <w:tab w:val="right" w:pos="9360"/>
        </w:tabs>
      </w:pPr>
    </w:p>
    <w:p w14:paraId="5CAA4DB5" w14:textId="77777777" w:rsidR="008423E4" w:rsidRDefault="008423E4" w:rsidP="00E31224"/>
    <w:p w14:paraId="0C741284" w14:textId="77777777" w:rsidR="008423E4" w:rsidRDefault="008423E4" w:rsidP="00E31224"/>
    <w:tbl>
      <w:tblPr>
        <w:tblW w:w="0" w:type="auto"/>
        <w:tblCellMar>
          <w:left w:w="115" w:type="dxa"/>
          <w:right w:w="115" w:type="dxa"/>
        </w:tblCellMar>
        <w:tblLook w:val="01E0" w:firstRow="1" w:lastRow="1" w:firstColumn="1" w:lastColumn="1" w:noHBand="0" w:noVBand="0"/>
      </w:tblPr>
      <w:tblGrid>
        <w:gridCol w:w="9360"/>
      </w:tblGrid>
      <w:tr w:rsidR="002A5A02" w14:paraId="005681DF" w14:textId="77777777" w:rsidTr="00E31224">
        <w:tc>
          <w:tcPr>
            <w:tcW w:w="9360" w:type="dxa"/>
          </w:tcPr>
          <w:p w14:paraId="5BF70BCC" w14:textId="77777777" w:rsidR="008423E4" w:rsidRPr="00A8133F" w:rsidRDefault="007C03A9" w:rsidP="00E31224">
            <w:pPr>
              <w:rPr>
                <w:b/>
              </w:rPr>
            </w:pPr>
            <w:r w:rsidRPr="009C1E9A">
              <w:rPr>
                <w:b/>
                <w:u w:val="single"/>
              </w:rPr>
              <w:t xml:space="preserve">BACKGROUND AND </w:t>
            </w:r>
            <w:r w:rsidRPr="00044E0D">
              <w:rPr>
                <w:b/>
                <w:u w:val="single"/>
              </w:rPr>
              <w:t>PURPOSE</w:t>
            </w:r>
            <w:r w:rsidRPr="00044E0D">
              <w:rPr>
                <w:b/>
              </w:rPr>
              <w:t xml:space="preserve"> </w:t>
            </w:r>
          </w:p>
          <w:p w14:paraId="2F8C73A4" w14:textId="77777777" w:rsidR="008423E4" w:rsidRDefault="008423E4" w:rsidP="00E31224"/>
          <w:p w14:paraId="493103D0" w14:textId="77777777" w:rsidR="00F90453" w:rsidRDefault="007C03A9" w:rsidP="00E31224">
            <w:pPr>
              <w:jc w:val="both"/>
            </w:pPr>
            <w:r>
              <w:t>The bill sponsor has informed the committee that the state has a growing problem of inactive oil and gas wells, many of which have been left unplugged for decades, and that these wells pose serious environmental and public health risks, including groundwater contamination, methane leaks, and structural hazards. The bill sponsor has also informed the committee that while the operators of oil and gas wells are required to plug inactive wells, many of those wells end up becoming abandoned and orphaned, ultimat</w:t>
            </w:r>
            <w:r>
              <w:t xml:space="preserve">ely becoming the responsibility of the Railroad Commission of Texas (RRC) to plug, which increases the burden on the RRC and state funds. The bill sponsor has further informed the committee that the current system allows operators to extend plugging deadlines indefinitely, often without a clear timeline for compliance, leading to an increasing number of orphaned wells that eventually become the responsibility of taxpayers and resulting in a backlog of inactive wells with the RRC. </w:t>
            </w:r>
          </w:p>
          <w:p w14:paraId="786C2F48" w14:textId="77777777" w:rsidR="00F90453" w:rsidRDefault="00F90453" w:rsidP="00E31224"/>
          <w:p w14:paraId="3A3D2EF3" w14:textId="16421AC0" w:rsidR="008423E4" w:rsidRDefault="007C03A9" w:rsidP="00E31224">
            <w:pPr>
              <w:pStyle w:val="Header"/>
              <w:tabs>
                <w:tab w:val="clear" w:pos="4320"/>
                <w:tab w:val="clear" w:pos="8640"/>
              </w:tabs>
              <w:jc w:val="both"/>
            </w:pPr>
            <w:r>
              <w:t xml:space="preserve">C.S.S.B. 1150 seeks to address some of these policy gaps by making the existing process for obtaining an extension of the deadline for plugging an inactive well inapplicable to a well that </w:t>
            </w:r>
            <w:r w:rsidRPr="00D12394">
              <w:t xml:space="preserve">has been inactive for more than 15 years </w:t>
            </w:r>
            <w:r>
              <w:t xml:space="preserve">and </w:t>
            </w:r>
            <w:r w:rsidRPr="00D12394">
              <w:t xml:space="preserve">was completed more than 25 years before the date </w:t>
            </w:r>
            <w:r>
              <w:t xml:space="preserve">of the extension request and by setting out new procedures for obtaining an extension for such a well that would require a demonstrated history of returning inactive wells to operation, an approved compliance plan with a commitment to plugging or restoring the well by a specified date, or payment of a performance bond. The bill would also establish certain reporting requirements relating to inactive wells. </w:t>
            </w:r>
          </w:p>
          <w:p w14:paraId="583EE7FC" w14:textId="77777777" w:rsidR="008423E4" w:rsidRPr="00E26B13" w:rsidRDefault="008423E4" w:rsidP="00E31224">
            <w:pPr>
              <w:rPr>
                <w:b/>
              </w:rPr>
            </w:pPr>
          </w:p>
        </w:tc>
      </w:tr>
      <w:tr w:rsidR="002A5A02" w14:paraId="0E68B84D" w14:textId="77777777" w:rsidTr="00E31224">
        <w:tc>
          <w:tcPr>
            <w:tcW w:w="9360" w:type="dxa"/>
          </w:tcPr>
          <w:p w14:paraId="11C0FAE4" w14:textId="77777777" w:rsidR="0017725B" w:rsidRDefault="007C03A9" w:rsidP="00E31224">
            <w:pPr>
              <w:rPr>
                <w:b/>
                <w:u w:val="single"/>
              </w:rPr>
            </w:pPr>
            <w:r>
              <w:rPr>
                <w:b/>
                <w:u w:val="single"/>
              </w:rPr>
              <w:t>CRIMINAL JUSTICE IMPACT</w:t>
            </w:r>
          </w:p>
          <w:p w14:paraId="3365BD1F" w14:textId="77777777" w:rsidR="0017725B" w:rsidRDefault="0017725B" w:rsidP="00E31224">
            <w:pPr>
              <w:rPr>
                <w:b/>
                <w:u w:val="single"/>
              </w:rPr>
            </w:pPr>
          </w:p>
          <w:p w14:paraId="5195D179" w14:textId="7B91E6EB" w:rsidR="0060468D" w:rsidRPr="0060468D" w:rsidRDefault="007C03A9" w:rsidP="00E31224">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7F377AA3" w14:textId="77777777" w:rsidR="0017725B" w:rsidRPr="0017725B" w:rsidRDefault="0017725B" w:rsidP="00E31224">
            <w:pPr>
              <w:rPr>
                <w:b/>
                <w:u w:val="single"/>
              </w:rPr>
            </w:pPr>
          </w:p>
        </w:tc>
      </w:tr>
      <w:tr w:rsidR="002A5A02" w14:paraId="08B1CAD3" w14:textId="77777777" w:rsidTr="00E31224">
        <w:tc>
          <w:tcPr>
            <w:tcW w:w="9360" w:type="dxa"/>
          </w:tcPr>
          <w:p w14:paraId="627329D4" w14:textId="77777777" w:rsidR="008423E4" w:rsidRPr="00A8133F" w:rsidRDefault="007C03A9" w:rsidP="00E31224">
            <w:pPr>
              <w:rPr>
                <w:b/>
              </w:rPr>
            </w:pPr>
            <w:r w:rsidRPr="009C1E9A">
              <w:rPr>
                <w:b/>
                <w:u w:val="single"/>
              </w:rPr>
              <w:t>RULEMAKING AUTHORITY</w:t>
            </w:r>
            <w:r>
              <w:rPr>
                <w:b/>
              </w:rPr>
              <w:t xml:space="preserve"> </w:t>
            </w:r>
          </w:p>
          <w:p w14:paraId="77188B45" w14:textId="77777777" w:rsidR="008423E4" w:rsidRDefault="008423E4" w:rsidP="00E31224"/>
          <w:p w14:paraId="055E59DE" w14:textId="50302F7E" w:rsidR="00C469D5" w:rsidRDefault="007C03A9" w:rsidP="00E31224">
            <w:pPr>
              <w:pStyle w:val="Header"/>
              <w:tabs>
                <w:tab w:val="clear" w:pos="4320"/>
                <w:tab w:val="clear" w:pos="8640"/>
              </w:tabs>
              <w:jc w:val="both"/>
            </w:pPr>
            <w:r>
              <w:t xml:space="preserve">It is the committee's opinion that rulemaking authority is expressly granted to the </w:t>
            </w:r>
            <w:r w:rsidRPr="00C469D5">
              <w:t>Railroad Commission of Texas</w:t>
            </w:r>
            <w:r>
              <w:t xml:space="preserve"> in </w:t>
            </w:r>
            <w:r w:rsidRPr="00C469D5">
              <w:t>SECTION</w:t>
            </w:r>
            <w:r>
              <w:t>S</w:t>
            </w:r>
            <w:r w:rsidRPr="00C469D5">
              <w:t xml:space="preserve"> 1</w:t>
            </w:r>
            <w:r>
              <w:t xml:space="preserve"> and 2 of this bill.</w:t>
            </w:r>
          </w:p>
          <w:p w14:paraId="3E0CB613" w14:textId="77777777" w:rsidR="008423E4" w:rsidRPr="00E21FDC" w:rsidRDefault="008423E4" w:rsidP="00E31224">
            <w:pPr>
              <w:rPr>
                <w:b/>
              </w:rPr>
            </w:pPr>
          </w:p>
        </w:tc>
      </w:tr>
      <w:tr w:rsidR="002A5A02" w14:paraId="46DB174B" w14:textId="77777777" w:rsidTr="00E31224">
        <w:tc>
          <w:tcPr>
            <w:tcW w:w="9360" w:type="dxa"/>
          </w:tcPr>
          <w:p w14:paraId="27BEC4EA" w14:textId="77777777" w:rsidR="008423E4" w:rsidRPr="00A8133F" w:rsidRDefault="007C03A9" w:rsidP="00E31224">
            <w:pPr>
              <w:rPr>
                <w:b/>
              </w:rPr>
            </w:pPr>
            <w:r w:rsidRPr="009C1E9A">
              <w:rPr>
                <w:b/>
                <w:u w:val="single"/>
              </w:rPr>
              <w:t>ANALYSIS</w:t>
            </w:r>
            <w:r>
              <w:rPr>
                <w:b/>
              </w:rPr>
              <w:t xml:space="preserve"> </w:t>
            </w:r>
          </w:p>
          <w:p w14:paraId="5C950AB1" w14:textId="77777777" w:rsidR="008423E4" w:rsidRDefault="008423E4" w:rsidP="00E31224"/>
          <w:p w14:paraId="417BB9D3" w14:textId="78F44E54" w:rsidR="009F5EAD" w:rsidRDefault="007C03A9" w:rsidP="00E31224">
            <w:pPr>
              <w:pStyle w:val="Header"/>
              <w:tabs>
                <w:tab w:val="clear" w:pos="4320"/>
                <w:tab w:val="clear" w:pos="8640"/>
              </w:tabs>
              <w:jc w:val="both"/>
            </w:pPr>
            <w:r>
              <w:t xml:space="preserve">C.S.S.B. 1150 amends the </w:t>
            </w:r>
            <w:r w:rsidRPr="001948D7">
              <w:t>Natural Resources Code</w:t>
            </w:r>
            <w:r>
              <w:t xml:space="preserve"> </w:t>
            </w:r>
            <w:r w:rsidRPr="001948D7">
              <w:t>to prohibit an operator</w:t>
            </w:r>
            <w:r w:rsidRPr="001948D7">
              <w:t xml:space="preserve"> from obtaining an extension of the deadline for plugging an inactive well </w:t>
            </w:r>
            <w:r w:rsidRPr="00682D01">
              <w:t xml:space="preserve">by complying with </w:t>
            </w:r>
            <w:r w:rsidR="007C1CB4">
              <w:t>the conditions for such an extension that are prescribed under current law</w:t>
            </w:r>
            <w:r w:rsidRPr="001948D7">
              <w:t xml:space="preserve"> </w:t>
            </w:r>
            <w:r>
              <w:t xml:space="preserve">if the well has been inactive for more than 15 years and was completed more than 25 years before the date the operator submitted the request for the extension. The bill authorizes the </w:t>
            </w:r>
            <w:r w:rsidRPr="00B83613">
              <w:t>Railroad Commission of Texas (RRC)</w:t>
            </w:r>
            <w:r>
              <w:t xml:space="preserve"> to grant an extension of the deadline for plugging such an inactive well </w:t>
            </w:r>
            <w:r w:rsidRPr="00494DD8">
              <w:t>under any of the following conditions</w:t>
            </w:r>
            <w:r>
              <w:t>:</w:t>
            </w:r>
          </w:p>
          <w:p w14:paraId="4294B86E" w14:textId="602769EB" w:rsidR="009F5EAD" w:rsidRDefault="007C03A9" w:rsidP="00E31224">
            <w:pPr>
              <w:pStyle w:val="Header"/>
              <w:numPr>
                <w:ilvl w:val="0"/>
                <w:numId w:val="1"/>
              </w:numPr>
              <w:jc w:val="both"/>
            </w:pPr>
            <w:r>
              <w:t>if</w:t>
            </w:r>
            <w:r w:rsidR="006314B7">
              <w:t>,</w:t>
            </w:r>
            <w:r>
              <w:t xml:space="preserve"> on request of the operator, the RRC by order determines that the operator's demonstrated history of returning inactive wells to operation warrants the granting of the extension;</w:t>
            </w:r>
          </w:p>
          <w:p w14:paraId="5E743990" w14:textId="24DD6942" w:rsidR="009F5EAD" w:rsidRDefault="007C03A9" w:rsidP="00E31224">
            <w:pPr>
              <w:pStyle w:val="Header"/>
              <w:numPr>
                <w:ilvl w:val="0"/>
                <w:numId w:val="1"/>
              </w:numPr>
              <w:jc w:val="both"/>
            </w:pPr>
            <w:r>
              <w:t>if the inactive well is included in a compliance plan submitted to and approved by the RRC or the RRC's delegate in which the operator commits to plugging or restoring the inactive well to operation by September 1, 2040; or</w:t>
            </w:r>
          </w:p>
          <w:p w14:paraId="2BD12ED8" w14:textId="4EC6F3FD" w:rsidR="009F5EAD" w:rsidRDefault="007C03A9" w:rsidP="00E31224">
            <w:pPr>
              <w:pStyle w:val="Header"/>
              <w:numPr>
                <w:ilvl w:val="0"/>
                <w:numId w:val="1"/>
              </w:numPr>
              <w:jc w:val="both"/>
            </w:pPr>
            <w:r>
              <w:t>if the operator of the inactive well files with the RRC an individual performance bond in an amount that is not less than the full cost calculation for plugging an inactive well, as established by the RRC, that runs with and covers the lifetime of the well, regardless of a change in the operator.</w:t>
            </w:r>
          </w:p>
          <w:p w14:paraId="12FECCAB" w14:textId="77777777" w:rsidR="009F5EAD" w:rsidRDefault="007C03A9" w:rsidP="00E31224">
            <w:pPr>
              <w:pStyle w:val="Header"/>
              <w:jc w:val="both"/>
            </w:pPr>
            <w:r>
              <w:t>The bill requires the RRC or the RRC's delegate, when considering whether to approve an operator's compliance plan, to consider the following:</w:t>
            </w:r>
          </w:p>
          <w:p w14:paraId="53FE7870" w14:textId="77777777" w:rsidR="009F5EAD" w:rsidRDefault="007C03A9" w:rsidP="00E31224">
            <w:pPr>
              <w:pStyle w:val="Header"/>
              <w:numPr>
                <w:ilvl w:val="0"/>
                <w:numId w:val="2"/>
              </w:numPr>
              <w:jc w:val="both"/>
            </w:pPr>
            <w:r>
              <w:t>age and length of inactivity of the well;</w:t>
            </w:r>
          </w:p>
          <w:p w14:paraId="645F42FE" w14:textId="77777777" w:rsidR="009F5EAD" w:rsidRDefault="007C03A9" w:rsidP="00E31224">
            <w:pPr>
              <w:pStyle w:val="Header"/>
              <w:numPr>
                <w:ilvl w:val="0"/>
                <w:numId w:val="2"/>
              </w:numPr>
              <w:jc w:val="both"/>
            </w:pPr>
            <w:r>
              <w:t>current economic conditions;</w:t>
            </w:r>
          </w:p>
          <w:p w14:paraId="3599F01A" w14:textId="77777777" w:rsidR="009F5EAD" w:rsidRDefault="007C03A9" w:rsidP="00E31224">
            <w:pPr>
              <w:pStyle w:val="Header"/>
              <w:numPr>
                <w:ilvl w:val="0"/>
                <w:numId w:val="2"/>
              </w:numPr>
              <w:jc w:val="both"/>
            </w:pPr>
            <w:r>
              <w:t>the operator's percentage of inactive wells compared to the operator's total well count;</w:t>
            </w:r>
          </w:p>
          <w:p w14:paraId="6D9CE983" w14:textId="77777777" w:rsidR="009F5EAD" w:rsidRDefault="007C03A9" w:rsidP="00E31224">
            <w:pPr>
              <w:pStyle w:val="Header"/>
              <w:numPr>
                <w:ilvl w:val="0"/>
                <w:numId w:val="2"/>
              </w:numPr>
              <w:jc w:val="both"/>
            </w:pPr>
            <w:r>
              <w:t>whether the operator has submitted to the RRC with the operator's organization report a plan of action for how the well operator will plug or bring the operator's inactive well into production or operate the well as an injection well or other type of operation;</w:t>
            </w:r>
          </w:p>
          <w:p w14:paraId="37B73F26" w14:textId="77777777" w:rsidR="009F5EAD" w:rsidRDefault="007C03A9" w:rsidP="00E31224">
            <w:pPr>
              <w:pStyle w:val="Header"/>
              <w:numPr>
                <w:ilvl w:val="0"/>
                <w:numId w:val="2"/>
              </w:numPr>
              <w:jc w:val="both"/>
            </w:pPr>
            <w:r>
              <w:t>the well operator's record of compliance, including any history of previous violations and the seriousness of those violations;</w:t>
            </w:r>
          </w:p>
          <w:p w14:paraId="0BFE78B0" w14:textId="77777777" w:rsidR="009F5EAD" w:rsidRDefault="007C03A9" w:rsidP="00E31224">
            <w:pPr>
              <w:pStyle w:val="Header"/>
              <w:numPr>
                <w:ilvl w:val="0"/>
                <w:numId w:val="2"/>
              </w:numPr>
              <w:jc w:val="both"/>
            </w:pPr>
            <w:r w:rsidRPr="00682D01">
              <w:t>any applicable financial assurance</w:t>
            </w:r>
            <w:r>
              <w:t xml:space="preserve"> made by the well operator;</w:t>
            </w:r>
          </w:p>
          <w:p w14:paraId="3C68B049" w14:textId="77777777" w:rsidR="009F5EAD" w:rsidRDefault="007C03A9" w:rsidP="00E31224">
            <w:pPr>
              <w:pStyle w:val="Header"/>
              <w:numPr>
                <w:ilvl w:val="0"/>
                <w:numId w:val="2"/>
              </w:numPr>
              <w:jc w:val="both"/>
            </w:pPr>
            <w:r>
              <w:t>any potential hazards to the health and safety of the public or the environment posed by the inactive well; and</w:t>
            </w:r>
          </w:p>
          <w:p w14:paraId="173FAAC7" w14:textId="77777777" w:rsidR="009F5EAD" w:rsidRDefault="007C03A9" w:rsidP="00E31224">
            <w:pPr>
              <w:pStyle w:val="Header"/>
              <w:numPr>
                <w:ilvl w:val="0"/>
                <w:numId w:val="2"/>
              </w:numPr>
              <w:jc w:val="both"/>
            </w:pPr>
            <w:r>
              <w:t>any good faith demonstrated by the well operator.</w:t>
            </w:r>
          </w:p>
          <w:p w14:paraId="008747FF" w14:textId="77777777" w:rsidR="009F5EAD" w:rsidRDefault="007C03A9" w:rsidP="00E31224">
            <w:pPr>
              <w:pStyle w:val="Header"/>
              <w:jc w:val="both"/>
            </w:pPr>
            <w:r>
              <w:t>The bill authorizes the operator, if the RRC or its delegate denies an operator's request for the approval of a compliance plan, to request a hearing from the RRC regarding that determination.</w:t>
            </w:r>
          </w:p>
          <w:p w14:paraId="60E1C1D9" w14:textId="77777777" w:rsidR="009F5EAD" w:rsidRDefault="009F5EAD" w:rsidP="00E31224">
            <w:pPr>
              <w:pStyle w:val="Header"/>
              <w:jc w:val="both"/>
            </w:pPr>
          </w:p>
          <w:p w14:paraId="4FD69539" w14:textId="77777777" w:rsidR="009F5EAD" w:rsidRDefault="007C03A9" w:rsidP="00E31224">
            <w:pPr>
              <w:pStyle w:val="Header"/>
              <w:jc w:val="both"/>
            </w:pPr>
            <w:r>
              <w:t>C.S.S.B. 1150 requires the RRC to adopt rules requiring each operator involved in the transfer of an inactive well to jointly submit to the RRC a written affirmation stating the following:</w:t>
            </w:r>
          </w:p>
          <w:p w14:paraId="76278684" w14:textId="77777777" w:rsidR="009F5EAD" w:rsidRDefault="007C03A9" w:rsidP="00E31224">
            <w:pPr>
              <w:pStyle w:val="Header"/>
              <w:numPr>
                <w:ilvl w:val="0"/>
                <w:numId w:val="4"/>
              </w:numPr>
              <w:jc w:val="both"/>
            </w:pPr>
            <w:r>
              <w:t xml:space="preserve">the well is in compliance with the requirements of </w:t>
            </w:r>
            <w:r w:rsidRPr="00C65517">
              <w:t>provisions relating to the</w:t>
            </w:r>
            <w:r>
              <w:t xml:space="preserve"> </w:t>
            </w:r>
            <w:r w:rsidRPr="00777CB8">
              <w:t xml:space="preserve">extension of </w:t>
            </w:r>
            <w:r>
              <w:t xml:space="preserve">a </w:t>
            </w:r>
            <w:r w:rsidRPr="00777CB8">
              <w:t xml:space="preserve">deadline for </w:t>
            </w:r>
            <w:r>
              <w:t xml:space="preserve">the </w:t>
            </w:r>
            <w:r w:rsidRPr="00777CB8">
              <w:t>plugging</w:t>
            </w:r>
            <w:r>
              <w:t xml:space="preserve"> of an</w:t>
            </w:r>
            <w:r w:rsidRPr="00777CB8">
              <w:t xml:space="preserve"> inactive well</w:t>
            </w:r>
            <w:r>
              <w:t>;</w:t>
            </w:r>
          </w:p>
          <w:p w14:paraId="65607BD9" w14:textId="77777777" w:rsidR="009F5EAD" w:rsidRDefault="007C03A9" w:rsidP="00E31224">
            <w:pPr>
              <w:pStyle w:val="Header"/>
              <w:numPr>
                <w:ilvl w:val="0"/>
                <w:numId w:val="4"/>
              </w:numPr>
              <w:jc w:val="both"/>
            </w:pPr>
            <w:r>
              <w:t>the transfer was a business practice performed in good faith; and</w:t>
            </w:r>
          </w:p>
          <w:p w14:paraId="417C2473" w14:textId="77777777" w:rsidR="009F5EAD" w:rsidRDefault="007C03A9" w:rsidP="00E31224">
            <w:pPr>
              <w:pStyle w:val="Header"/>
              <w:numPr>
                <w:ilvl w:val="0"/>
                <w:numId w:val="4"/>
              </w:numPr>
              <w:jc w:val="both"/>
            </w:pPr>
            <w:r>
              <w:t>the operator to whom the inactive well was transferred will ensure continued compliance with such provisions.</w:t>
            </w:r>
          </w:p>
          <w:p w14:paraId="528F29D7" w14:textId="77777777" w:rsidR="009F5EAD" w:rsidRDefault="009F5EAD" w:rsidP="00E31224">
            <w:pPr>
              <w:pStyle w:val="Header"/>
              <w:jc w:val="both"/>
            </w:pPr>
          </w:p>
          <w:p w14:paraId="594503AE" w14:textId="46D463F4" w:rsidR="009F5EAD" w:rsidRDefault="007C03A9" w:rsidP="00E31224">
            <w:pPr>
              <w:pStyle w:val="Header"/>
              <w:jc w:val="both"/>
            </w:pPr>
            <w:r>
              <w:t xml:space="preserve">C.S.S.B. 1150 makes an extension granted under the bill's provisions </w:t>
            </w:r>
            <w:r w:rsidR="00C65517">
              <w:t xml:space="preserve">based </w:t>
            </w:r>
            <w:r w:rsidRPr="00756190">
              <w:t xml:space="preserve">on </w:t>
            </w:r>
            <w:r w:rsidR="00C65517">
              <w:t xml:space="preserve">the operator's </w:t>
            </w:r>
            <w:r w:rsidRPr="00756190">
              <w:t xml:space="preserve">request </w:t>
            </w:r>
            <w:r>
              <w:t>and the RRC's</w:t>
            </w:r>
            <w:r w:rsidRPr="00756190">
              <w:t xml:space="preserve"> determin</w:t>
            </w:r>
            <w:r>
              <w:t>ation</w:t>
            </w:r>
            <w:r w:rsidRPr="00756190">
              <w:t xml:space="preserve"> that the operator's demonstrated history of returning inactive wells to operation warrants the granting of the extension</w:t>
            </w:r>
            <w:r>
              <w:t xml:space="preserve"> nontransferable to another operator.</w:t>
            </w:r>
          </w:p>
          <w:p w14:paraId="47AB1D9A" w14:textId="77777777" w:rsidR="009F5EAD" w:rsidRDefault="009F5EAD" w:rsidP="00E31224">
            <w:pPr>
              <w:pStyle w:val="Header"/>
              <w:jc w:val="both"/>
            </w:pPr>
          </w:p>
          <w:p w14:paraId="0A9B6C4C" w14:textId="77777777" w:rsidR="009F5EAD" w:rsidRDefault="007C03A9" w:rsidP="00E31224">
            <w:pPr>
              <w:pStyle w:val="Header"/>
              <w:jc w:val="both"/>
            </w:pPr>
            <w:r>
              <w:t xml:space="preserve">C.S.S.B. 1150 requires the RRC to establish an administrative penalty for a violation of provisions relating to the </w:t>
            </w:r>
            <w:r w:rsidRPr="009F30F6">
              <w:t>extension of</w:t>
            </w:r>
            <w:r>
              <w:t xml:space="preserve"> a</w:t>
            </w:r>
            <w:r w:rsidRPr="009F30F6">
              <w:t xml:space="preserve"> deadline for</w:t>
            </w:r>
            <w:r>
              <w:t xml:space="preserve"> the</w:t>
            </w:r>
            <w:r w:rsidRPr="009F30F6">
              <w:t xml:space="preserve"> plugging</w:t>
            </w:r>
            <w:r>
              <w:t xml:space="preserve"> of an</w:t>
            </w:r>
            <w:r w:rsidRPr="009F30F6">
              <w:t xml:space="preserve"> inactive well</w:t>
            </w:r>
            <w:r>
              <w:t xml:space="preserve"> in an amount determined by the RRC.</w:t>
            </w:r>
          </w:p>
          <w:p w14:paraId="079660CD" w14:textId="77777777" w:rsidR="009F5EAD" w:rsidRDefault="009F5EAD" w:rsidP="00E31224">
            <w:pPr>
              <w:pStyle w:val="Header"/>
              <w:tabs>
                <w:tab w:val="clear" w:pos="4320"/>
                <w:tab w:val="clear" w:pos="8640"/>
              </w:tabs>
              <w:jc w:val="both"/>
            </w:pPr>
          </w:p>
          <w:p w14:paraId="2F0C4D00" w14:textId="77777777" w:rsidR="009F5EAD" w:rsidRDefault="007C03A9" w:rsidP="00E31224">
            <w:pPr>
              <w:pStyle w:val="Header"/>
              <w:tabs>
                <w:tab w:val="clear" w:pos="4320"/>
                <w:tab w:val="clear" w:pos="8640"/>
              </w:tabs>
              <w:jc w:val="both"/>
            </w:pPr>
            <w:r>
              <w:t>C.S.S.B. 1150 requires the RRC, not later than December 1 of each year, to produce and deliver to the governor, lieutenant governor, and legislature a report that includes the following:</w:t>
            </w:r>
          </w:p>
          <w:p w14:paraId="05F2B924" w14:textId="77777777" w:rsidR="009F5EAD" w:rsidRDefault="007C03A9" w:rsidP="00E31224">
            <w:pPr>
              <w:pStyle w:val="Header"/>
              <w:numPr>
                <w:ilvl w:val="0"/>
                <w:numId w:val="6"/>
              </w:numPr>
              <w:jc w:val="both"/>
            </w:pPr>
            <w:r>
              <w:t>the number of inactive wells in Texas;</w:t>
            </w:r>
          </w:p>
          <w:p w14:paraId="4BB56023" w14:textId="77777777" w:rsidR="009F5EAD" w:rsidRDefault="007C03A9" w:rsidP="00E31224">
            <w:pPr>
              <w:pStyle w:val="Header"/>
              <w:numPr>
                <w:ilvl w:val="0"/>
                <w:numId w:val="6"/>
              </w:numPr>
              <w:jc w:val="both"/>
            </w:pPr>
            <w:r>
              <w:t>the age and length of inactivity of each inactive well;</w:t>
            </w:r>
          </w:p>
          <w:p w14:paraId="0835F230" w14:textId="77777777" w:rsidR="009F5EAD" w:rsidRDefault="007C03A9" w:rsidP="00E31224">
            <w:pPr>
              <w:pStyle w:val="Header"/>
              <w:numPr>
                <w:ilvl w:val="0"/>
                <w:numId w:val="6"/>
              </w:numPr>
              <w:jc w:val="both"/>
            </w:pPr>
            <w:r>
              <w:t>the number of inactive wells for which an extension of the deadline to plug the inactive well has been granted by the RRC;</w:t>
            </w:r>
          </w:p>
          <w:p w14:paraId="1898DC41" w14:textId="77777777" w:rsidR="009F5EAD" w:rsidRDefault="007C03A9" w:rsidP="00E31224">
            <w:pPr>
              <w:pStyle w:val="Header"/>
              <w:numPr>
                <w:ilvl w:val="0"/>
                <w:numId w:val="6"/>
              </w:numPr>
              <w:jc w:val="both"/>
            </w:pPr>
            <w:r>
              <w:t>the financial assurance methods used by operators of inactive wells, including the number of wells using each financial assurance method available;</w:t>
            </w:r>
          </w:p>
          <w:p w14:paraId="3B4661A9" w14:textId="77777777" w:rsidR="009F5EAD" w:rsidRDefault="007C03A9" w:rsidP="00E31224">
            <w:pPr>
              <w:pStyle w:val="Header"/>
              <w:numPr>
                <w:ilvl w:val="0"/>
                <w:numId w:val="6"/>
              </w:numPr>
              <w:jc w:val="both"/>
            </w:pPr>
            <w:r>
              <w:t>the number of wells plugged in the preceding year, including a breakdown of wells plugged by operators versus wells plugged by the RRC using state money;</w:t>
            </w:r>
          </w:p>
          <w:p w14:paraId="161D6524" w14:textId="77777777" w:rsidR="009F5EAD" w:rsidRDefault="007C03A9" w:rsidP="00E31224">
            <w:pPr>
              <w:pStyle w:val="Header"/>
              <w:numPr>
                <w:ilvl w:val="0"/>
                <w:numId w:val="6"/>
              </w:numPr>
              <w:jc w:val="both"/>
            </w:pPr>
            <w:r>
              <w:t>the number of inactive wells returned to production or put into use as an injection well or other operation in the preceding year;</w:t>
            </w:r>
          </w:p>
          <w:p w14:paraId="00BDDA44" w14:textId="6512C7AE" w:rsidR="009F5EAD" w:rsidRDefault="007C03A9" w:rsidP="00E31224">
            <w:pPr>
              <w:pStyle w:val="Header"/>
              <w:numPr>
                <w:ilvl w:val="0"/>
                <w:numId w:val="6"/>
              </w:numPr>
              <w:jc w:val="both"/>
            </w:pPr>
            <w:r>
              <w:t>a summary of the number of operators of inactive wells based on organization reports submitted to the RRC, including the total number, based on the reports, of operators and inactive wells that are in compliance, are delinquent, are delinquent for longer than a year, or have been granted a</w:t>
            </w:r>
            <w:r w:rsidR="0016518F">
              <w:t xml:space="preserve"> plugging deadline</w:t>
            </w:r>
            <w:r>
              <w:t xml:space="preserve"> extension;</w:t>
            </w:r>
          </w:p>
          <w:p w14:paraId="0E6B216C" w14:textId="77777777" w:rsidR="009F5EAD" w:rsidRDefault="007C03A9" w:rsidP="00E31224">
            <w:pPr>
              <w:pStyle w:val="Header"/>
              <w:numPr>
                <w:ilvl w:val="0"/>
                <w:numId w:val="6"/>
              </w:numPr>
              <w:jc w:val="both"/>
            </w:pPr>
            <w:r>
              <w:t>the number of organization reports the RRC has not renewed or approved, including the following:</w:t>
            </w:r>
          </w:p>
          <w:p w14:paraId="27F2D51A" w14:textId="69454726" w:rsidR="009F5EAD" w:rsidRDefault="007C03A9" w:rsidP="00E31224">
            <w:pPr>
              <w:pStyle w:val="Header"/>
              <w:numPr>
                <w:ilvl w:val="1"/>
                <w:numId w:val="6"/>
              </w:numPr>
              <w:jc w:val="both"/>
            </w:pPr>
            <w:r>
              <w:t>for each report that has not been renewed or approved</w:t>
            </w:r>
            <w:r w:rsidR="000E2F0B">
              <w:t xml:space="preserve">, </w:t>
            </w:r>
            <w:r>
              <w:t>the associated well count</w:t>
            </w:r>
            <w:r w:rsidR="000E2F0B">
              <w:t xml:space="preserve"> </w:t>
            </w:r>
            <w:r>
              <w:t>and</w:t>
            </w:r>
            <w:r w:rsidR="000E2F0B">
              <w:t xml:space="preserve"> </w:t>
            </w:r>
            <w:r>
              <w:t>the total amount of financial security submitted by the operator; and</w:t>
            </w:r>
          </w:p>
          <w:p w14:paraId="29E60BC1" w14:textId="77777777" w:rsidR="009F5EAD" w:rsidRDefault="007C03A9" w:rsidP="00E31224">
            <w:pPr>
              <w:pStyle w:val="Header"/>
              <w:numPr>
                <w:ilvl w:val="1"/>
                <w:numId w:val="6"/>
              </w:numPr>
              <w:jc w:val="both"/>
            </w:pPr>
            <w:r>
              <w:t xml:space="preserve">the </w:t>
            </w:r>
            <w:r>
              <w:t>total amount of financial security collected from each operator who filed a report that has not been renewed or approved; and</w:t>
            </w:r>
          </w:p>
          <w:p w14:paraId="795DC5A0" w14:textId="21C7651B" w:rsidR="009F5EAD" w:rsidRDefault="007C03A9" w:rsidP="00E31224">
            <w:pPr>
              <w:pStyle w:val="Header"/>
              <w:numPr>
                <w:ilvl w:val="0"/>
                <w:numId w:val="6"/>
              </w:numPr>
              <w:jc w:val="both"/>
            </w:pPr>
            <w:r w:rsidRPr="00682D01">
              <w:t>the annual cost calculation for plugging an inactive well</w:t>
            </w:r>
            <w:r w:rsidR="00682D01">
              <w:t>, as described under current law relating to plugging deadline extensions</w:t>
            </w:r>
            <w:r>
              <w:t>.</w:t>
            </w:r>
          </w:p>
          <w:p w14:paraId="1D737527" w14:textId="3FA70C93" w:rsidR="009F5EAD" w:rsidRDefault="007C03A9" w:rsidP="00E31224">
            <w:pPr>
              <w:pStyle w:val="Header"/>
              <w:jc w:val="both"/>
            </w:pPr>
            <w:r>
              <w:t>The bill requires the RRC to</w:t>
            </w:r>
            <w:r w:rsidRPr="009F5EAD">
              <w:t xml:space="preserve"> submit</w:t>
            </w:r>
            <w:r w:rsidR="00E6683C">
              <w:t xml:space="preserve"> </w:t>
            </w:r>
            <w:r w:rsidR="00E6683C" w:rsidRPr="009F5EAD">
              <w:t>the first report</w:t>
            </w:r>
            <w:r w:rsidRPr="009F5EAD">
              <w:t xml:space="preserve"> to the governor, lieutenant governor, and legislature</w:t>
            </w:r>
            <w:r w:rsidR="000E2F0B">
              <w:t xml:space="preserve"> n</w:t>
            </w:r>
            <w:r w:rsidR="000E2F0B" w:rsidRPr="009F5EAD">
              <w:t>ot later than December 1, 2026</w:t>
            </w:r>
            <w:r w:rsidRPr="009F5EAD">
              <w:t>.</w:t>
            </w:r>
          </w:p>
          <w:p w14:paraId="5CC7FF4B" w14:textId="77777777" w:rsidR="009C36CD" w:rsidRDefault="009C36CD" w:rsidP="00E31224">
            <w:pPr>
              <w:pStyle w:val="Header"/>
              <w:tabs>
                <w:tab w:val="clear" w:pos="4320"/>
                <w:tab w:val="clear" w:pos="8640"/>
              </w:tabs>
              <w:jc w:val="both"/>
            </w:pPr>
          </w:p>
          <w:p w14:paraId="59CF4EBF" w14:textId="77777777" w:rsidR="009F5EAD" w:rsidRDefault="007C03A9" w:rsidP="00E31224">
            <w:pPr>
              <w:pStyle w:val="Header"/>
              <w:jc w:val="both"/>
            </w:pPr>
            <w:r>
              <w:t>C.S.S.B. 1150 requires an operator, for each inactive well for which 15 years have elapsed from the date on which the relevant well completion report was filed with the RRC, to submit an annual report to the RRC with information regarding the results of a successful fluid level test or hydraulic pressure test of the well conducted in accordance with RRC rules. The bill requires the report to include appropriate documentation of the test results.</w:t>
            </w:r>
          </w:p>
          <w:p w14:paraId="010CCC4F" w14:textId="77777777" w:rsidR="009F5EAD" w:rsidRDefault="009F5EAD" w:rsidP="00E31224">
            <w:pPr>
              <w:pStyle w:val="Header"/>
              <w:jc w:val="both"/>
            </w:pPr>
          </w:p>
          <w:p w14:paraId="63069AC9" w14:textId="77777777" w:rsidR="009F5EAD" w:rsidRDefault="007C03A9" w:rsidP="00E31224">
            <w:pPr>
              <w:pStyle w:val="Header"/>
              <w:jc w:val="both"/>
            </w:pPr>
            <w:r>
              <w:t xml:space="preserve">C.S.S.B. 1150 requires the RRC to adopt rules as necessary to regulate and monitor inactive wells </w:t>
            </w:r>
            <w:r w:rsidRPr="009F5EAD">
              <w:t xml:space="preserve">under statutory </w:t>
            </w:r>
            <w:r>
              <w:t xml:space="preserve">provisions relating to </w:t>
            </w:r>
            <w:r w:rsidRPr="009F5EAD">
              <w:t>abandoned wells</w:t>
            </w:r>
            <w:r>
              <w:t>. The bill requires the RRC to consider the following in adopting the rules:</w:t>
            </w:r>
          </w:p>
          <w:p w14:paraId="0F6CF1AE" w14:textId="77777777" w:rsidR="009F5EAD" w:rsidRDefault="007C03A9" w:rsidP="00E31224">
            <w:pPr>
              <w:pStyle w:val="Header"/>
              <w:numPr>
                <w:ilvl w:val="0"/>
                <w:numId w:val="8"/>
              </w:numPr>
              <w:jc w:val="both"/>
            </w:pPr>
            <w:r>
              <w:t>the risk to public safety or the environment;</w:t>
            </w:r>
          </w:p>
          <w:p w14:paraId="1285F738" w14:textId="77777777" w:rsidR="009F5EAD" w:rsidRDefault="007C03A9" w:rsidP="00E31224">
            <w:pPr>
              <w:pStyle w:val="Header"/>
              <w:numPr>
                <w:ilvl w:val="0"/>
                <w:numId w:val="8"/>
              </w:numPr>
              <w:jc w:val="both"/>
            </w:pPr>
            <w:r>
              <w:t xml:space="preserve">wellbore and wellhead integrity, including the ability to monitor casing pressure; and </w:t>
            </w:r>
          </w:p>
          <w:p w14:paraId="2FB21BC8" w14:textId="64BF1B44" w:rsidR="009F5EAD" w:rsidRDefault="007C03A9" w:rsidP="00E31224">
            <w:pPr>
              <w:pStyle w:val="Header"/>
              <w:numPr>
                <w:ilvl w:val="0"/>
                <w:numId w:val="8"/>
              </w:numPr>
              <w:jc w:val="both"/>
            </w:pPr>
            <w:r>
              <w:t>regional risk considerations, including penetration of corrosive or over-pressured formations and completion in zones containing hydrogen sulfide.</w:t>
            </w:r>
          </w:p>
          <w:p w14:paraId="7F99B5A9" w14:textId="77777777" w:rsidR="008423E4" w:rsidRPr="00835628" w:rsidRDefault="008423E4" w:rsidP="00E31224">
            <w:pPr>
              <w:rPr>
                <w:b/>
              </w:rPr>
            </w:pPr>
          </w:p>
        </w:tc>
      </w:tr>
      <w:tr w:rsidR="002A5A02" w14:paraId="674EA2A6" w14:textId="77777777" w:rsidTr="00E31224">
        <w:tc>
          <w:tcPr>
            <w:tcW w:w="9360" w:type="dxa"/>
          </w:tcPr>
          <w:p w14:paraId="5E197EAC" w14:textId="77777777" w:rsidR="008423E4" w:rsidRPr="00A8133F" w:rsidRDefault="007C03A9" w:rsidP="00E31224">
            <w:pPr>
              <w:rPr>
                <w:b/>
              </w:rPr>
            </w:pPr>
            <w:r w:rsidRPr="009C1E9A">
              <w:rPr>
                <w:b/>
                <w:u w:val="single"/>
              </w:rPr>
              <w:t>EFFECTIVE DATE</w:t>
            </w:r>
            <w:r>
              <w:rPr>
                <w:b/>
              </w:rPr>
              <w:t xml:space="preserve"> </w:t>
            </w:r>
          </w:p>
          <w:p w14:paraId="131D71F1" w14:textId="77777777" w:rsidR="008423E4" w:rsidRDefault="008423E4" w:rsidP="00E31224"/>
          <w:p w14:paraId="1FC4A2C5" w14:textId="5E00277D" w:rsidR="000712DB" w:rsidRDefault="007C03A9" w:rsidP="00E31224">
            <w:pPr>
              <w:pStyle w:val="Header"/>
              <w:tabs>
                <w:tab w:val="clear" w:pos="4320"/>
                <w:tab w:val="clear" w:pos="8640"/>
              </w:tabs>
              <w:jc w:val="both"/>
            </w:pPr>
            <w:r>
              <w:t>September 1, 2025.</w:t>
            </w:r>
          </w:p>
          <w:p w14:paraId="48044818" w14:textId="77777777" w:rsidR="008423E4" w:rsidRPr="00233FDB" w:rsidRDefault="008423E4" w:rsidP="00E31224">
            <w:pPr>
              <w:rPr>
                <w:b/>
              </w:rPr>
            </w:pPr>
          </w:p>
        </w:tc>
      </w:tr>
      <w:tr w:rsidR="002A5A02" w14:paraId="142D51E5" w14:textId="77777777" w:rsidTr="00E31224">
        <w:tc>
          <w:tcPr>
            <w:tcW w:w="9360" w:type="dxa"/>
          </w:tcPr>
          <w:p w14:paraId="63DDF2FA" w14:textId="77777777" w:rsidR="00A67A8B" w:rsidRDefault="007C03A9" w:rsidP="00E31224">
            <w:pPr>
              <w:jc w:val="both"/>
              <w:rPr>
                <w:b/>
                <w:u w:val="single"/>
              </w:rPr>
            </w:pPr>
            <w:r>
              <w:rPr>
                <w:b/>
                <w:u w:val="single"/>
              </w:rPr>
              <w:t xml:space="preserve">COMPARISON OF SENATE ENGROSSED AND </w:t>
            </w:r>
            <w:r w:rsidRPr="00EE33ED">
              <w:rPr>
                <w:b/>
                <w:u w:val="single"/>
              </w:rPr>
              <w:t>SUBSTITUTE</w:t>
            </w:r>
          </w:p>
          <w:p w14:paraId="7B9699DA" w14:textId="77777777" w:rsidR="0060468D" w:rsidRDefault="0060468D" w:rsidP="00E31224">
            <w:pPr>
              <w:jc w:val="both"/>
            </w:pPr>
          </w:p>
          <w:p w14:paraId="1F2ED2EA" w14:textId="5812AD3B" w:rsidR="0060468D" w:rsidRDefault="007C03A9" w:rsidP="00E31224">
            <w:pPr>
              <w:jc w:val="both"/>
            </w:pPr>
            <w:r>
              <w:t xml:space="preserve">While C.S.S.B. 1150 may differ from the engrossed in minor or </w:t>
            </w:r>
            <w:r>
              <w:t>nonsubstantive ways, the following summarizes the substantial differences between the engrossed and committee substitute versions of the bill.</w:t>
            </w:r>
          </w:p>
          <w:p w14:paraId="2E032CB5" w14:textId="77777777" w:rsidR="0060468D" w:rsidRDefault="0060468D" w:rsidP="00E31224">
            <w:pPr>
              <w:jc w:val="both"/>
            </w:pPr>
          </w:p>
          <w:p w14:paraId="7832B39B" w14:textId="0195FC7F" w:rsidR="007C0B18" w:rsidRDefault="007C03A9" w:rsidP="00E31224">
            <w:pPr>
              <w:pStyle w:val="Header"/>
              <w:tabs>
                <w:tab w:val="clear" w:pos="4320"/>
                <w:tab w:val="clear" w:pos="8640"/>
              </w:tabs>
              <w:jc w:val="both"/>
            </w:pPr>
            <w:r>
              <w:t xml:space="preserve">With respect to the conditions under which the RRC may grant an extension of the deadline for plugging </w:t>
            </w:r>
            <w:r w:rsidR="00B517F7">
              <w:t xml:space="preserve">a </w:t>
            </w:r>
            <w:r>
              <w:t xml:space="preserve">well </w:t>
            </w:r>
            <w:r w:rsidR="00B517F7">
              <w:t>that has been inactive for more than 15 years and was completed more than 25 years before the date the operator submitted the request for the extension</w:t>
            </w:r>
            <w:r>
              <w:t>, the engrossed and substitute differ as follows:</w:t>
            </w:r>
          </w:p>
          <w:p w14:paraId="4C2129D5" w14:textId="7B9573A8" w:rsidR="007C0B18" w:rsidRDefault="007C03A9" w:rsidP="00E31224">
            <w:pPr>
              <w:pStyle w:val="Header"/>
              <w:numPr>
                <w:ilvl w:val="0"/>
                <w:numId w:val="10"/>
              </w:numPr>
              <w:tabs>
                <w:tab w:val="clear" w:pos="4320"/>
                <w:tab w:val="clear" w:pos="8640"/>
              </w:tabs>
              <w:jc w:val="both"/>
            </w:pPr>
            <w:r>
              <w:t>the substitute omits the provision of the engrossed that authorized an extension to be granted if</w:t>
            </w:r>
            <w:r w:rsidR="00F77B84">
              <w:t>, on request of the operator,</w:t>
            </w:r>
            <w:r>
              <w:t xml:space="preserve"> the RRC by order determines that the operator's financial hardship, as determined by the RRC based on whether the operator was a reasonably prudent operator, in comply</w:t>
            </w:r>
            <w:r w:rsidR="00F77B84">
              <w:t>ing</w:t>
            </w:r>
            <w:r>
              <w:t xml:space="preserve"> with </w:t>
            </w:r>
            <w:r w:rsidR="003E4BFB">
              <w:t xml:space="preserve">provisions relating to the </w:t>
            </w:r>
            <w:r w:rsidR="003E4BFB" w:rsidRPr="00CC7962">
              <w:t xml:space="preserve">extension of </w:t>
            </w:r>
            <w:r w:rsidR="003E4BFB">
              <w:t xml:space="preserve">a </w:t>
            </w:r>
            <w:r w:rsidR="003E4BFB" w:rsidRPr="00CC7962">
              <w:t xml:space="preserve">deadline for </w:t>
            </w:r>
            <w:r w:rsidR="003E4BFB">
              <w:t xml:space="preserve">the </w:t>
            </w:r>
            <w:r w:rsidR="003E4BFB" w:rsidRPr="00CC7962">
              <w:t>plugging</w:t>
            </w:r>
            <w:r w:rsidR="003E4BFB">
              <w:t xml:space="preserve"> of an</w:t>
            </w:r>
            <w:r w:rsidR="003E4BFB" w:rsidRPr="00CC7962">
              <w:t xml:space="preserve"> inactive well</w:t>
            </w:r>
            <w:r w:rsidR="003E4BFB">
              <w:t xml:space="preserve"> </w:t>
            </w:r>
            <w:r>
              <w:t>warrants the granting of the extension; and</w:t>
            </w:r>
          </w:p>
          <w:p w14:paraId="2F4EB934" w14:textId="77777777" w:rsidR="007C0B18" w:rsidRDefault="007C03A9" w:rsidP="00E31224">
            <w:pPr>
              <w:pStyle w:val="Header"/>
              <w:numPr>
                <w:ilvl w:val="0"/>
                <w:numId w:val="10"/>
              </w:numPr>
              <w:tabs>
                <w:tab w:val="clear" w:pos="4320"/>
                <w:tab w:val="clear" w:pos="8640"/>
              </w:tabs>
              <w:jc w:val="both"/>
            </w:pPr>
            <w:r>
              <w:t xml:space="preserve">while both versions authorize an extension to be granted if the inactive well is included in a compliance plan submitted to and approved by the RRC or the RRC's delegate in which the operator commits to plugging or restoring the inactive well to operation by a certain date, the engrossed specified a date of September 1, 2042, whereas the substitute specifies a date of September 1, 2040. </w:t>
            </w:r>
          </w:p>
          <w:p w14:paraId="43A45D02" w14:textId="77777777" w:rsidR="00CA3F28" w:rsidRDefault="00CA3F28" w:rsidP="00E31224">
            <w:pPr>
              <w:jc w:val="both"/>
            </w:pPr>
          </w:p>
          <w:p w14:paraId="26D281D1" w14:textId="79C1DFD8" w:rsidR="00CA3F28" w:rsidRDefault="007C03A9" w:rsidP="00E31224">
            <w:pPr>
              <w:jc w:val="both"/>
            </w:pPr>
            <w:r>
              <w:t xml:space="preserve">Both the </w:t>
            </w:r>
            <w:r w:rsidR="00D747C5">
              <w:t>engrossed</w:t>
            </w:r>
            <w:r>
              <w:t xml:space="preserve"> and substitute require </w:t>
            </w:r>
            <w:r w:rsidRPr="00CA3F28">
              <w:t>an operator</w:t>
            </w:r>
            <w:r>
              <w:t>, for certain inactive wells,</w:t>
            </w:r>
            <w:r w:rsidRPr="00CA3F28">
              <w:t xml:space="preserve"> </w:t>
            </w:r>
            <w:r>
              <w:t>to</w:t>
            </w:r>
            <w:r w:rsidRPr="00CA3F28">
              <w:t xml:space="preserve"> submit an annual report to the </w:t>
            </w:r>
            <w:r>
              <w:t>RRC</w:t>
            </w:r>
            <w:r w:rsidRPr="00CA3F28">
              <w:t xml:space="preserve"> with information regarding the results of a successful fluid level test or hydraulic pressure test of </w:t>
            </w:r>
            <w:r>
              <w:t>a</w:t>
            </w:r>
            <w:r w:rsidRPr="00CA3F28">
              <w:t xml:space="preserve"> well conducted in accordance with </w:t>
            </w:r>
            <w:r>
              <w:t>RRC</w:t>
            </w:r>
            <w:r w:rsidRPr="00CA3F28">
              <w:t xml:space="preserve"> rules</w:t>
            </w:r>
            <w:r>
              <w:t>. However, the substitute specifies that such a report is required f</w:t>
            </w:r>
            <w:r w:rsidRPr="00CA3F28">
              <w:t xml:space="preserve">or each inactive well for which 15 years have elapsed from the date on which the relevant well completion report was filed with the </w:t>
            </w:r>
            <w:r>
              <w:t>RRC, whereas the engrossed specified that such a repo</w:t>
            </w:r>
            <w:r>
              <w:t>rt is required f</w:t>
            </w:r>
            <w:r w:rsidRPr="00CA3F28">
              <w:t>or each inactive well with a well completion age of more than 15</w:t>
            </w:r>
            <w:r>
              <w:t xml:space="preserve"> and defined </w:t>
            </w:r>
            <w:r w:rsidRPr="00CA3F28">
              <w:t xml:space="preserve">"well completion age" </w:t>
            </w:r>
            <w:r>
              <w:t>a</w:t>
            </w:r>
            <w:r w:rsidRPr="00CA3F28">
              <w:t xml:space="preserve">s the number of years following the date that the relevant well completion report is filed with the </w:t>
            </w:r>
            <w:r>
              <w:t>RRC</w:t>
            </w:r>
            <w:r w:rsidRPr="00CA3F28">
              <w:t>.</w:t>
            </w:r>
          </w:p>
          <w:p w14:paraId="0EDD9AD4" w14:textId="77777777" w:rsidR="00CA3F28" w:rsidRDefault="00CA3F28" w:rsidP="00E31224">
            <w:pPr>
              <w:jc w:val="both"/>
            </w:pPr>
          </w:p>
          <w:p w14:paraId="30930B82" w14:textId="0AAF6B62" w:rsidR="0060468D" w:rsidRPr="0060468D" w:rsidRDefault="007C03A9" w:rsidP="00E31224">
            <w:pPr>
              <w:jc w:val="both"/>
            </w:pPr>
            <w:r>
              <w:t xml:space="preserve">The substitute omits the provision from the engrossed that made the bill's provisions relating to the </w:t>
            </w:r>
            <w:r w:rsidR="00CC7962" w:rsidRPr="00CC7962">
              <w:t xml:space="preserve">extension of </w:t>
            </w:r>
            <w:r w:rsidR="00EE33ED">
              <w:t>a</w:t>
            </w:r>
            <w:r w:rsidR="00CC7962">
              <w:t xml:space="preserve"> </w:t>
            </w:r>
            <w:r w:rsidR="00CC7962" w:rsidRPr="00CC7962">
              <w:t xml:space="preserve">deadline for </w:t>
            </w:r>
            <w:r w:rsidR="00CC7962">
              <w:t xml:space="preserve">the </w:t>
            </w:r>
            <w:r w:rsidR="00CC7962" w:rsidRPr="00CC7962">
              <w:t>plugging</w:t>
            </w:r>
            <w:r w:rsidR="00CC7962">
              <w:t xml:space="preserve"> of an</w:t>
            </w:r>
            <w:r w:rsidR="00CC7962" w:rsidRPr="00CC7962">
              <w:t xml:space="preserve"> inactive well</w:t>
            </w:r>
            <w:r w:rsidR="00CC7962">
              <w:t xml:space="preserve"> </w:t>
            </w:r>
            <w:r w:rsidR="00CC7962" w:rsidRPr="00CC7962">
              <w:t>effect</w:t>
            </w:r>
            <w:r w:rsidR="00CC7962">
              <w:t>ive</w:t>
            </w:r>
            <w:r w:rsidR="00CC7962" w:rsidRPr="00CC7962">
              <w:t xml:space="preserve"> September 1, 2027.</w:t>
            </w:r>
            <w:r w:rsidRPr="00CA3F28">
              <w:t xml:space="preserve"> </w:t>
            </w:r>
          </w:p>
        </w:tc>
      </w:tr>
      <w:tr w:rsidR="002A5A02" w14:paraId="4009496D" w14:textId="77777777" w:rsidTr="00E31224">
        <w:tc>
          <w:tcPr>
            <w:tcW w:w="9360" w:type="dxa"/>
          </w:tcPr>
          <w:p w14:paraId="1607B076" w14:textId="77777777" w:rsidR="00A67A8B" w:rsidRPr="00A67A8B" w:rsidRDefault="00A67A8B" w:rsidP="00E31224">
            <w:pPr>
              <w:jc w:val="both"/>
            </w:pPr>
          </w:p>
        </w:tc>
      </w:tr>
    </w:tbl>
    <w:p w14:paraId="4EC2A3A7" w14:textId="77777777" w:rsidR="008423E4" w:rsidRPr="00BE0E75" w:rsidRDefault="008423E4" w:rsidP="00E31224">
      <w:pPr>
        <w:jc w:val="both"/>
        <w:rPr>
          <w:rFonts w:ascii="Arial" w:hAnsi="Arial"/>
          <w:sz w:val="16"/>
          <w:szCs w:val="16"/>
        </w:rPr>
      </w:pPr>
    </w:p>
    <w:p w14:paraId="1C0D2658" w14:textId="77777777" w:rsidR="004108C3" w:rsidRPr="008423E4" w:rsidRDefault="004108C3" w:rsidP="00E3122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E77B7" w14:textId="77777777" w:rsidR="007C03A9" w:rsidRDefault="007C03A9">
      <w:r>
        <w:separator/>
      </w:r>
    </w:p>
  </w:endnote>
  <w:endnote w:type="continuationSeparator" w:id="0">
    <w:p w14:paraId="2B2431CC" w14:textId="77777777" w:rsidR="007C03A9" w:rsidRDefault="007C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340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A5A02" w14:paraId="765CC71A" w14:textId="77777777" w:rsidTr="009C1E9A">
      <w:trPr>
        <w:cantSplit/>
      </w:trPr>
      <w:tc>
        <w:tcPr>
          <w:tcW w:w="0" w:type="pct"/>
        </w:tcPr>
        <w:p w14:paraId="425CABB4" w14:textId="77777777" w:rsidR="00137D90" w:rsidRDefault="00137D90" w:rsidP="009C1E9A">
          <w:pPr>
            <w:pStyle w:val="Footer"/>
            <w:tabs>
              <w:tab w:val="clear" w:pos="8640"/>
              <w:tab w:val="right" w:pos="9360"/>
            </w:tabs>
          </w:pPr>
        </w:p>
      </w:tc>
      <w:tc>
        <w:tcPr>
          <w:tcW w:w="2395" w:type="pct"/>
        </w:tcPr>
        <w:p w14:paraId="7834008A" w14:textId="77777777" w:rsidR="00137D90" w:rsidRDefault="00137D90" w:rsidP="009C1E9A">
          <w:pPr>
            <w:pStyle w:val="Footer"/>
            <w:tabs>
              <w:tab w:val="clear" w:pos="8640"/>
              <w:tab w:val="right" w:pos="9360"/>
            </w:tabs>
          </w:pPr>
        </w:p>
        <w:p w14:paraId="7E059A67" w14:textId="77777777" w:rsidR="001A4310" w:rsidRDefault="001A4310" w:rsidP="009C1E9A">
          <w:pPr>
            <w:pStyle w:val="Footer"/>
            <w:tabs>
              <w:tab w:val="clear" w:pos="8640"/>
              <w:tab w:val="right" w:pos="9360"/>
            </w:tabs>
          </w:pPr>
        </w:p>
        <w:p w14:paraId="38014D64" w14:textId="77777777" w:rsidR="00137D90" w:rsidRDefault="00137D90" w:rsidP="009C1E9A">
          <w:pPr>
            <w:pStyle w:val="Footer"/>
            <w:tabs>
              <w:tab w:val="clear" w:pos="8640"/>
              <w:tab w:val="right" w:pos="9360"/>
            </w:tabs>
          </w:pPr>
        </w:p>
      </w:tc>
      <w:tc>
        <w:tcPr>
          <w:tcW w:w="2453" w:type="pct"/>
        </w:tcPr>
        <w:p w14:paraId="2502C56E" w14:textId="77777777" w:rsidR="00137D90" w:rsidRDefault="00137D90" w:rsidP="009C1E9A">
          <w:pPr>
            <w:pStyle w:val="Footer"/>
            <w:tabs>
              <w:tab w:val="clear" w:pos="8640"/>
              <w:tab w:val="right" w:pos="9360"/>
            </w:tabs>
            <w:jc w:val="right"/>
          </w:pPr>
        </w:p>
      </w:tc>
    </w:tr>
    <w:tr w:rsidR="002A5A02" w14:paraId="15ABC3DF" w14:textId="77777777" w:rsidTr="009C1E9A">
      <w:trPr>
        <w:cantSplit/>
      </w:trPr>
      <w:tc>
        <w:tcPr>
          <w:tcW w:w="0" w:type="pct"/>
        </w:tcPr>
        <w:p w14:paraId="604F2ED9" w14:textId="77777777" w:rsidR="00EC379B" w:rsidRDefault="00EC379B" w:rsidP="009C1E9A">
          <w:pPr>
            <w:pStyle w:val="Footer"/>
            <w:tabs>
              <w:tab w:val="clear" w:pos="8640"/>
              <w:tab w:val="right" w:pos="9360"/>
            </w:tabs>
          </w:pPr>
        </w:p>
      </w:tc>
      <w:tc>
        <w:tcPr>
          <w:tcW w:w="2395" w:type="pct"/>
        </w:tcPr>
        <w:p w14:paraId="58C52527" w14:textId="5AD3B4C6" w:rsidR="00EC379B" w:rsidRPr="009C1E9A" w:rsidRDefault="007C03A9" w:rsidP="009C1E9A">
          <w:pPr>
            <w:pStyle w:val="Footer"/>
            <w:tabs>
              <w:tab w:val="clear" w:pos="8640"/>
              <w:tab w:val="right" w:pos="9360"/>
            </w:tabs>
            <w:rPr>
              <w:rFonts w:ascii="Shruti" w:hAnsi="Shruti"/>
              <w:sz w:val="22"/>
            </w:rPr>
          </w:pPr>
          <w:r>
            <w:rPr>
              <w:rFonts w:ascii="Shruti" w:hAnsi="Shruti"/>
              <w:sz w:val="22"/>
            </w:rPr>
            <w:t>89R 29671-D</w:t>
          </w:r>
        </w:p>
      </w:tc>
      <w:tc>
        <w:tcPr>
          <w:tcW w:w="2453" w:type="pct"/>
        </w:tcPr>
        <w:p w14:paraId="1E2F3FB5" w14:textId="3E0D3AD8" w:rsidR="00EC379B" w:rsidRDefault="007C03A9" w:rsidP="009C1E9A">
          <w:pPr>
            <w:pStyle w:val="Footer"/>
            <w:tabs>
              <w:tab w:val="clear" w:pos="8640"/>
              <w:tab w:val="right" w:pos="9360"/>
            </w:tabs>
            <w:jc w:val="right"/>
          </w:pPr>
          <w:r>
            <w:fldChar w:fldCharType="begin"/>
          </w:r>
          <w:r>
            <w:instrText xml:space="preserve"> DOCPROPERTY  OTID  \* MERGEFORMAT </w:instrText>
          </w:r>
          <w:r>
            <w:fldChar w:fldCharType="separate"/>
          </w:r>
          <w:r w:rsidR="00E31224">
            <w:t>25.133.316</w:t>
          </w:r>
          <w:r>
            <w:fldChar w:fldCharType="end"/>
          </w:r>
        </w:p>
      </w:tc>
    </w:tr>
    <w:tr w:rsidR="002A5A02" w14:paraId="453AF87D" w14:textId="77777777" w:rsidTr="009C1E9A">
      <w:trPr>
        <w:cantSplit/>
      </w:trPr>
      <w:tc>
        <w:tcPr>
          <w:tcW w:w="0" w:type="pct"/>
        </w:tcPr>
        <w:p w14:paraId="7985EF91" w14:textId="77777777" w:rsidR="00EC379B" w:rsidRDefault="00EC379B" w:rsidP="009C1E9A">
          <w:pPr>
            <w:pStyle w:val="Footer"/>
            <w:tabs>
              <w:tab w:val="clear" w:pos="4320"/>
              <w:tab w:val="clear" w:pos="8640"/>
              <w:tab w:val="left" w:pos="2865"/>
            </w:tabs>
          </w:pPr>
        </w:p>
      </w:tc>
      <w:tc>
        <w:tcPr>
          <w:tcW w:w="2395" w:type="pct"/>
        </w:tcPr>
        <w:p w14:paraId="2244784D" w14:textId="30B64076" w:rsidR="00EC379B" w:rsidRPr="009C1E9A" w:rsidRDefault="007C03A9" w:rsidP="009C1E9A">
          <w:pPr>
            <w:pStyle w:val="Footer"/>
            <w:tabs>
              <w:tab w:val="clear" w:pos="4320"/>
              <w:tab w:val="clear" w:pos="8640"/>
              <w:tab w:val="left" w:pos="2865"/>
            </w:tabs>
            <w:rPr>
              <w:rFonts w:ascii="Shruti" w:hAnsi="Shruti"/>
              <w:sz w:val="22"/>
            </w:rPr>
          </w:pPr>
          <w:r>
            <w:rPr>
              <w:rFonts w:ascii="Shruti" w:hAnsi="Shruti"/>
              <w:sz w:val="22"/>
            </w:rPr>
            <w:t>Substitute Document Number: 89R 27760</w:t>
          </w:r>
        </w:p>
      </w:tc>
      <w:tc>
        <w:tcPr>
          <w:tcW w:w="2453" w:type="pct"/>
        </w:tcPr>
        <w:p w14:paraId="37C7E7BB" w14:textId="77777777" w:rsidR="00EC379B" w:rsidRDefault="00EC379B" w:rsidP="006D504F">
          <w:pPr>
            <w:pStyle w:val="Footer"/>
            <w:rPr>
              <w:rStyle w:val="PageNumber"/>
            </w:rPr>
          </w:pPr>
        </w:p>
        <w:p w14:paraId="0B11CEE6" w14:textId="77777777" w:rsidR="00EC379B" w:rsidRDefault="00EC379B" w:rsidP="009C1E9A">
          <w:pPr>
            <w:pStyle w:val="Footer"/>
            <w:tabs>
              <w:tab w:val="clear" w:pos="8640"/>
              <w:tab w:val="right" w:pos="9360"/>
            </w:tabs>
            <w:jc w:val="right"/>
          </w:pPr>
        </w:p>
      </w:tc>
    </w:tr>
    <w:tr w:rsidR="002A5A02" w14:paraId="0ABEC9A6" w14:textId="77777777" w:rsidTr="009C1E9A">
      <w:trPr>
        <w:cantSplit/>
        <w:trHeight w:val="323"/>
      </w:trPr>
      <w:tc>
        <w:tcPr>
          <w:tcW w:w="0" w:type="pct"/>
          <w:gridSpan w:val="3"/>
        </w:tcPr>
        <w:p w14:paraId="025BB053" w14:textId="77777777" w:rsidR="00EC379B" w:rsidRDefault="007C03A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2881C9F" w14:textId="77777777" w:rsidR="00EC379B" w:rsidRDefault="00EC379B" w:rsidP="009C1E9A">
          <w:pPr>
            <w:pStyle w:val="Footer"/>
            <w:tabs>
              <w:tab w:val="clear" w:pos="8640"/>
              <w:tab w:val="right" w:pos="9360"/>
            </w:tabs>
            <w:jc w:val="center"/>
          </w:pPr>
        </w:p>
      </w:tc>
    </w:tr>
  </w:tbl>
  <w:p w14:paraId="544A8D2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1BC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1BA5F" w14:textId="77777777" w:rsidR="007C03A9" w:rsidRDefault="007C03A9">
      <w:r>
        <w:separator/>
      </w:r>
    </w:p>
  </w:footnote>
  <w:footnote w:type="continuationSeparator" w:id="0">
    <w:p w14:paraId="6014CD48" w14:textId="77777777" w:rsidR="007C03A9" w:rsidRDefault="007C0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7C9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9CE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0CD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75AA"/>
    <w:multiLevelType w:val="hybridMultilevel"/>
    <w:tmpl w:val="B26EBE54"/>
    <w:lvl w:ilvl="0" w:tplc="9DA428A0">
      <w:start w:val="1"/>
      <w:numFmt w:val="bullet"/>
      <w:lvlText w:val=""/>
      <w:lvlJc w:val="left"/>
      <w:pPr>
        <w:tabs>
          <w:tab w:val="num" w:pos="720"/>
        </w:tabs>
        <w:ind w:left="720" w:hanging="360"/>
      </w:pPr>
      <w:rPr>
        <w:rFonts w:ascii="Symbol" w:hAnsi="Symbol" w:hint="default"/>
      </w:rPr>
    </w:lvl>
    <w:lvl w:ilvl="1" w:tplc="E64ECCCA" w:tentative="1">
      <w:start w:val="1"/>
      <w:numFmt w:val="bullet"/>
      <w:lvlText w:val="o"/>
      <w:lvlJc w:val="left"/>
      <w:pPr>
        <w:ind w:left="1440" w:hanging="360"/>
      </w:pPr>
      <w:rPr>
        <w:rFonts w:ascii="Courier New" w:hAnsi="Courier New" w:cs="Courier New" w:hint="default"/>
      </w:rPr>
    </w:lvl>
    <w:lvl w:ilvl="2" w:tplc="10B0947E" w:tentative="1">
      <w:start w:val="1"/>
      <w:numFmt w:val="bullet"/>
      <w:lvlText w:val=""/>
      <w:lvlJc w:val="left"/>
      <w:pPr>
        <w:ind w:left="2160" w:hanging="360"/>
      </w:pPr>
      <w:rPr>
        <w:rFonts w:ascii="Wingdings" w:hAnsi="Wingdings" w:hint="default"/>
      </w:rPr>
    </w:lvl>
    <w:lvl w:ilvl="3" w:tplc="26CA5F4E" w:tentative="1">
      <w:start w:val="1"/>
      <w:numFmt w:val="bullet"/>
      <w:lvlText w:val=""/>
      <w:lvlJc w:val="left"/>
      <w:pPr>
        <w:ind w:left="2880" w:hanging="360"/>
      </w:pPr>
      <w:rPr>
        <w:rFonts w:ascii="Symbol" w:hAnsi="Symbol" w:hint="default"/>
      </w:rPr>
    </w:lvl>
    <w:lvl w:ilvl="4" w:tplc="A706327C" w:tentative="1">
      <w:start w:val="1"/>
      <w:numFmt w:val="bullet"/>
      <w:lvlText w:val="o"/>
      <w:lvlJc w:val="left"/>
      <w:pPr>
        <w:ind w:left="3600" w:hanging="360"/>
      </w:pPr>
      <w:rPr>
        <w:rFonts w:ascii="Courier New" w:hAnsi="Courier New" w:cs="Courier New" w:hint="default"/>
      </w:rPr>
    </w:lvl>
    <w:lvl w:ilvl="5" w:tplc="4FAE5034" w:tentative="1">
      <w:start w:val="1"/>
      <w:numFmt w:val="bullet"/>
      <w:lvlText w:val=""/>
      <w:lvlJc w:val="left"/>
      <w:pPr>
        <w:ind w:left="4320" w:hanging="360"/>
      </w:pPr>
      <w:rPr>
        <w:rFonts w:ascii="Wingdings" w:hAnsi="Wingdings" w:hint="default"/>
      </w:rPr>
    </w:lvl>
    <w:lvl w:ilvl="6" w:tplc="423C8588" w:tentative="1">
      <w:start w:val="1"/>
      <w:numFmt w:val="bullet"/>
      <w:lvlText w:val=""/>
      <w:lvlJc w:val="left"/>
      <w:pPr>
        <w:ind w:left="5040" w:hanging="360"/>
      </w:pPr>
      <w:rPr>
        <w:rFonts w:ascii="Symbol" w:hAnsi="Symbol" w:hint="default"/>
      </w:rPr>
    </w:lvl>
    <w:lvl w:ilvl="7" w:tplc="44062B8C" w:tentative="1">
      <w:start w:val="1"/>
      <w:numFmt w:val="bullet"/>
      <w:lvlText w:val="o"/>
      <w:lvlJc w:val="left"/>
      <w:pPr>
        <w:ind w:left="5760" w:hanging="360"/>
      </w:pPr>
      <w:rPr>
        <w:rFonts w:ascii="Courier New" w:hAnsi="Courier New" w:cs="Courier New" w:hint="default"/>
      </w:rPr>
    </w:lvl>
    <w:lvl w:ilvl="8" w:tplc="F65CD42C" w:tentative="1">
      <w:start w:val="1"/>
      <w:numFmt w:val="bullet"/>
      <w:lvlText w:val=""/>
      <w:lvlJc w:val="left"/>
      <w:pPr>
        <w:ind w:left="6480" w:hanging="360"/>
      </w:pPr>
      <w:rPr>
        <w:rFonts w:ascii="Wingdings" w:hAnsi="Wingdings" w:hint="default"/>
      </w:rPr>
    </w:lvl>
  </w:abstractNum>
  <w:abstractNum w:abstractNumId="1" w15:restartNumberingAfterBreak="0">
    <w:nsid w:val="33E80D2D"/>
    <w:multiLevelType w:val="hybridMultilevel"/>
    <w:tmpl w:val="565EEFEA"/>
    <w:lvl w:ilvl="0" w:tplc="3B408508">
      <w:start w:val="1"/>
      <w:numFmt w:val="bullet"/>
      <w:lvlText w:val=""/>
      <w:lvlJc w:val="left"/>
      <w:pPr>
        <w:tabs>
          <w:tab w:val="num" w:pos="720"/>
        </w:tabs>
        <w:ind w:left="720" w:hanging="360"/>
      </w:pPr>
      <w:rPr>
        <w:rFonts w:ascii="Symbol" w:hAnsi="Symbol" w:hint="default"/>
      </w:rPr>
    </w:lvl>
    <w:lvl w:ilvl="1" w:tplc="067C1C4A">
      <w:start w:val="1"/>
      <w:numFmt w:val="bullet"/>
      <w:lvlText w:val="o"/>
      <w:lvlJc w:val="left"/>
      <w:pPr>
        <w:ind w:left="1440" w:hanging="360"/>
      </w:pPr>
      <w:rPr>
        <w:rFonts w:ascii="Courier New" w:hAnsi="Courier New" w:cs="Courier New" w:hint="default"/>
      </w:rPr>
    </w:lvl>
    <w:lvl w:ilvl="2" w:tplc="86BA1270">
      <w:start w:val="1"/>
      <w:numFmt w:val="bullet"/>
      <w:lvlText w:val=""/>
      <w:lvlJc w:val="left"/>
      <w:pPr>
        <w:ind w:left="2160" w:hanging="360"/>
      </w:pPr>
      <w:rPr>
        <w:rFonts w:ascii="Wingdings" w:hAnsi="Wingdings" w:hint="default"/>
      </w:rPr>
    </w:lvl>
    <w:lvl w:ilvl="3" w:tplc="C4A0D028" w:tentative="1">
      <w:start w:val="1"/>
      <w:numFmt w:val="bullet"/>
      <w:lvlText w:val=""/>
      <w:lvlJc w:val="left"/>
      <w:pPr>
        <w:ind w:left="2880" w:hanging="360"/>
      </w:pPr>
      <w:rPr>
        <w:rFonts w:ascii="Symbol" w:hAnsi="Symbol" w:hint="default"/>
      </w:rPr>
    </w:lvl>
    <w:lvl w:ilvl="4" w:tplc="3A86934A" w:tentative="1">
      <w:start w:val="1"/>
      <w:numFmt w:val="bullet"/>
      <w:lvlText w:val="o"/>
      <w:lvlJc w:val="left"/>
      <w:pPr>
        <w:ind w:left="3600" w:hanging="360"/>
      </w:pPr>
      <w:rPr>
        <w:rFonts w:ascii="Courier New" w:hAnsi="Courier New" w:cs="Courier New" w:hint="default"/>
      </w:rPr>
    </w:lvl>
    <w:lvl w:ilvl="5" w:tplc="E356FBFE" w:tentative="1">
      <w:start w:val="1"/>
      <w:numFmt w:val="bullet"/>
      <w:lvlText w:val=""/>
      <w:lvlJc w:val="left"/>
      <w:pPr>
        <w:ind w:left="4320" w:hanging="360"/>
      </w:pPr>
      <w:rPr>
        <w:rFonts w:ascii="Wingdings" w:hAnsi="Wingdings" w:hint="default"/>
      </w:rPr>
    </w:lvl>
    <w:lvl w:ilvl="6" w:tplc="D02CA768" w:tentative="1">
      <w:start w:val="1"/>
      <w:numFmt w:val="bullet"/>
      <w:lvlText w:val=""/>
      <w:lvlJc w:val="left"/>
      <w:pPr>
        <w:ind w:left="5040" w:hanging="360"/>
      </w:pPr>
      <w:rPr>
        <w:rFonts w:ascii="Symbol" w:hAnsi="Symbol" w:hint="default"/>
      </w:rPr>
    </w:lvl>
    <w:lvl w:ilvl="7" w:tplc="E5D237B4" w:tentative="1">
      <w:start w:val="1"/>
      <w:numFmt w:val="bullet"/>
      <w:lvlText w:val="o"/>
      <w:lvlJc w:val="left"/>
      <w:pPr>
        <w:ind w:left="5760" w:hanging="360"/>
      </w:pPr>
      <w:rPr>
        <w:rFonts w:ascii="Courier New" w:hAnsi="Courier New" w:cs="Courier New" w:hint="default"/>
      </w:rPr>
    </w:lvl>
    <w:lvl w:ilvl="8" w:tplc="59E07466" w:tentative="1">
      <w:start w:val="1"/>
      <w:numFmt w:val="bullet"/>
      <w:lvlText w:val=""/>
      <w:lvlJc w:val="left"/>
      <w:pPr>
        <w:ind w:left="6480" w:hanging="360"/>
      </w:pPr>
      <w:rPr>
        <w:rFonts w:ascii="Wingdings" w:hAnsi="Wingdings" w:hint="default"/>
      </w:rPr>
    </w:lvl>
  </w:abstractNum>
  <w:abstractNum w:abstractNumId="2" w15:restartNumberingAfterBreak="0">
    <w:nsid w:val="366E4733"/>
    <w:multiLevelType w:val="hybridMultilevel"/>
    <w:tmpl w:val="657804FC"/>
    <w:lvl w:ilvl="0" w:tplc="1A8A8486">
      <w:start w:val="1"/>
      <w:numFmt w:val="bullet"/>
      <w:lvlText w:val=""/>
      <w:lvlJc w:val="left"/>
      <w:pPr>
        <w:tabs>
          <w:tab w:val="num" w:pos="720"/>
        </w:tabs>
        <w:ind w:left="720" w:hanging="360"/>
      </w:pPr>
      <w:rPr>
        <w:rFonts w:ascii="Symbol" w:hAnsi="Symbol" w:hint="default"/>
      </w:rPr>
    </w:lvl>
    <w:lvl w:ilvl="1" w:tplc="7E5C31B8" w:tentative="1">
      <w:start w:val="1"/>
      <w:numFmt w:val="bullet"/>
      <w:lvlText w:val="o"/>
      <w:lvlJc w:val="left"/>
      <w:pPr>
        <w:ind w:left="1440" w:hanging="360"/>
      </w:pPr>
      <w:rPr>
        <w:rFonts w:ascii="Courier New" w:hAnsi="Courier New" w:cs="Courier New" w:hint="default"/>
      </w:rPr>
    </w:lvl>
    <w:lvl w:ilvl="2" w:tplc="B4F0E62A" w:tentative="1">
      <w:start w:val="1"/>
      <w:numFmt w:val="bullet"/>
      <w:lvlText w:val=""/>
      <w:lvlJc w:val="left"/>
      <w:pPr>
        <w:ind w:left="2160" w:hanging="360"/>
      </w:pPr>
      <w:rPr>
        <w:rFonts w:ascii="Wingdings" w:hAnsi="Wingdings" w:hint="default"/>
      </w:rPr>
    </w:lvl>
    <w:lvl w:ilvl="3" w:tplc="99D405DC" w:tentative="1">
      <w:start w:val="1"/>
      <w:numFmt w:val="bullet"/>
      <w:lvlText w:val=""/>
      <w:lvlJc w:val="left"/>
      <w:pPr>
        <w:ind w:left="2880" w:hanging="360"/>
      </w:pPr>
      <w:rPr>
        <w:rFonts w:ascii="Symbol" w:hAnsi="Symbol" w:hint="default"/>
      </w:rPr>
    </w:lvl>
    <w:lvl w:ilvl="4" w:tplc="15E67E6E" w:tentative="1">
      <w:start w:val="1"/>
      <w:numFmt w:val="bullet"/>
      <w:lvlText w:val="o"/>
      <w:lvlJc w:val="left"/>
      <w:pPr>
        <w:ind w:left="3600" w:hanging="360"/>
      </w:pPr>
      <w:rPr>
        <w:rFonts w:ascii="Courier New" w:hAnsi="Courier New" w:cs="Courier New" w:hint="default"/>
      </w:rPr>
    </w:lvl>
    <w:lvl w:ilvl="5" w:tplc="E7345E62" w:tentative="1">
      <w:start w:val="1"/>
      <w:numFmt w:val="bullet"/>
      <w:lvlText w:val=""/>
      <w:lvlJc w:val="left"/>
      <w:pPr>
        <w:ind w:left="4320" w:hanging="360"/>
      </w:pPr>
      <w:rPr>
        <w:rFonts w:ascii="Wingdings" w:hAnsi="Wingdings" w:hint="default"/>
      </w:rPr>
    </w:lvl>
    <w:lvl w:ilvl="6" w:tplc="3F284266" w:tentative="1">
      <w:start w:val="1"/>
      <w:numFmt w:val="bullet"/>
      <w:lvlText w:val=""/>
      <w:lvlJc w:val="left"/>
      <w:pPr>
        <w:ind w:left="5040" w:hanging="360"/>
      </w:pPr>
      <w:rPr>
        <w:rFonts w:ascii="Symbol" w:hAnsi="Symbol" w:hint="default"/>
      </w:rPr>
    </w:lvl>
    <w:lvl w:ilvl="7" w:tplc="D8B64028" w:tentative="1">
      <w:start w:val="1"/>
      <w:numFmt w:val="bullet"/>
      <w:lvlText w:val="o"/>
      <w:lvlJc w:val="left"/>
      <w:pPr>
        <w:ind w:left="5760" w:hanging="360"/>
      </w:pPr>
      <w:rPr>
        <w:rFonts w:ascii="Courier New" w:hAnsi="Courier New" w:cs="Courier New" w:hint="default"/>
      </w:rPr>
    </w:lvl>
    <w:lvl w:ilvl="8" w:tplc="C1CA1184" w:tentative="1">
      <w:start w:val="1"/>
      <w:numFmt w:val="bullet"/>
      <w:lvlText w:val=""/>
      <w:lvlJc w:val="left"/>
      <w:pPr>
        <w:ind w:left="6480" w:hanging="360"/>
      </w:pPr>
      <w:rPr>
        <w:rFonts w:ascii="Wingdings" w:hAnsi="Wingdings" w:hint="default"/>
      </w:rPr>
    </w:lvl>
  </w:abstractNum>
  <w:abstractNum w:abstractNumId="3" w15:restartNumberingAfterBreak="0">
    <w:nsid w:val="421016FA"/>
    <w:multiLevelType w:val="hybridMultilevel"/>
    <w:tmpl w:val="0270D53E"/>
    <w:lvl w:ilvl="0" w:tplc="B0A40104">
      <w:start w:val="1"/>
      <w:numFmt w:val="decimal"/>
      <w:lvlText w:val="(%1)"/>
      <w:lvlJc w:val="left"/>
      <w:pPr>
        <w:ind w:left="758" w:hanging="398"/>
      </w:pPr>
      <w:rPr>
        <w:rFonts w:hint="default"/>
      </w:rPr>
    </w:lvl>
    <w:lvl w:ilvl="1" w:tplc="4E80007C" w:tentative="1">
      <w:start w:val="1"/>
      <w:numFmt w:val="lowerLetter"/>
      <w:lvlText w:val="%2."/>
      <w:lvlJc w:val="left"/>
      <w:pPr>
        <w:ind w:left="1440" w:hanging="360"/>
      </w:pPr>
    </w:lvl>
    <w:lvl w:ilvl="2" w:tplc="0BAE4C60" w:tentative="1">
      <w:start w:val="1"/>
      <w:numFmt w:val="lowerRoman"/>
      <w:lvlText w:val="%3."/>
      <w:lvlJc w:val="right"/>
      <w:pPr>
        <w:ind w:left="2160" w:hanging="180"/>
      </w:pPr>
    </w:lvl>
    <w:lvl w:ilvl="3" w:tplc="8A54351C" w:tentative="1">
      <w:start w:val="1"/>
      <w:numFmt w:val="decimal"/>
      <w:lvlText w:val="%4."/>
      <w:lvlJc w:val="left"/>
      <w:pPr>
        <w:ind w:left="2880" w:hanging="360"/>
      </w:pPr>
    </w:lvl>
    <w:lvl w:ilvl="4" w:tplc="D396D4A6" w:tentative="1">
      <w:start w:val="1"/>
      <w:numFmt w:val="lowerLetter"/>
      <w:lvlText w:val="%5."/>
      <w:lvlJc w:val="left"/>
      <w:pPr>
        <w:ind w:left="3600" w:hanging="360"/>
      </w:pPr>
    </w:lvl>
    <w:lvl w:ilvl="5" w:tplc="9200A318" w:tentative="1">
      <w:start w:val="1"/>
      <w:numFmt w:val="lowerRoman"/>
      <w:lvlText w:val="%6."/>
      <w:lvlJc w:val="right"/>
      <w:pPr>
        <w:ind w:left="4320" w:hanging="180"/>
      </w:pPr>
    </w:lvl>
    <w:lvl w:ilvl="6" w:tplc="6D5AB138" w:tentative="1">
      <w:start w:val="1"/>
      <w:numFmt w:val="decimal"/>
      <w:lvlText w:val="%7."/>
      <w:lvlJc w:val="left"/>
      <w:pPr>
        <w:ind w:left="5040" w:hanging="360"/>
      </w:pPr>
    </w:lvl>
    <w:lvl w:ilvl="7" w:tplc="69320ECE" w:tentative="1">
      <w:start w:val="1"/>
      <w:numFmt w:val="lowerLetter"/>
      <w:lvlText w:val="%8."/>
      <w:lvlJc w:val="left"/>
      <w:pPr>
        <w:ind w:left="5760" w:hanging="360"/>
      </w:pPr>
    </w:lvl>
    <w:lvl w:ilvl="8" w:tplc="30F0DF06" w:tentative="1">
      <w:start w:val="1"/>
      <w:numFmt w:val="lowerRoman"/>
      <w:lvlText w:val="%9."/>
      <w:lvlJc w:val="right"/>
      <w:pPr>
        <w:ind w:left="6480" w:hanging="180"/>
      </w:pPr>
    </w:lvl>
  </w:abstractNum>
  <w:abstractNum w:abstractNumId="4" w15:restartNumberingAfterBreak="0">
    <w:nsid w:val="48EE250F"/>
    <w:multiLevelType w:val="hybridMultilevel"/>
    <w:tmpl w:val="E2543E10"/>
    <w:lvl w:ilvl="0" w:tplc="DF52D242">
      <w:start w:val="1"/>
      <w:numFmt w:val="bullet"/>
      <w:lvlText w:val=""/>
      <w:lvlJc w:val="left"/>
      <w:pPr>
        <w:tabs>
          <w:tab w:val="num" w:pos="720"/>
        </w:tabs>
        <w:ind w:left="720" w:hanging="360"/>
      </w:pPr>
      <w:rPr>
        <w:rFonts w:ascii="Symbol" w:hAnsi="Symbol" w:hint="default"/>
      </w:rPr>
    </w:lvl>
    <w:lvl w:ilvl="1" w:tplc="C1EE797C" w:tentative="1">
      <w:start w:val="1"/>
      <w:numFmt w:val="bullet"/>
      <w:lvlText w:val="o"/>
      <w:lvlJc w:val="left"/>
      <w:pPr>
        <w:ind w:left="1440" w:hanging="360"/>
      </w:pPr>
      <w:rPr>
        <w:rFonts w:ascii="Courier New" w:hAnsi="Courier New" w:cs="Courier New" w:hint="default"/>
      </w:rPr>
    </w:lvl>
    <w:lvl w:ilvl="2" w:tplc="2EE0CAE6" w:tentative="1">
      <w:start w:val="1"/>
      <w:numFmt w:val="bullet"/>
      <w:lvlText w:val=""/>
      <w:lvlJc w:val="left"/>
      <w:pPr>
        <w:ind w:left="2160" w:hanging="360"/>
      </w:pPr>
      <w:rPr>
        <w:rFonts w:ascii="Wingdings" w:hAnsi="Wingdings" w:hint="default"/>
      </w:rPr>
    </w:lvl>
    <w:lvl w:ilvl="3" w:tplc="633E9D84" w:tentative="1">
      <w:start w:val="1"/>
      <w:numFmt w:val="bullet"/>
      <w:lvlText w:val=""/>
      <w:lvlJc w:val="left"/>
      <w:pPr>
        <w:ind w:left="2880" w:hanging="360"/>
      </w:pPr>
      <w:rPr>
        <w:rFonts w:ascii="Symbol" w:hAnsi="Symbol" w:hint="default"/>
      </w:rPr>
    </w:lvl>
    <w:lvl w:ilvl="4" w:tplc="473A0F88" w:tentative="1">
      <w:start w:val="1"/>
      <w:numFmt w:val="bullet"/>
      <w:lvlText w:val="o"/>
      <w:lvlJc w:val="left"/>
      <w:pPr>
        <w:ind w:left="3600" w:hanging="360"/>
      </w:pPr>
      <w:rPr>
        <w:rFonts w:ascii="Courier New" w:hAnsi="Courier New" w:cs="Courier New" w:hint="default"/>
      </w:rPr>
    </w:lvl>
    <w:lvl w:ilvl="5" w:tplc="2C0A0550" w:tentative="1">
      <w:start w:val="1"/>
      <w:numFmt w:val="bullet"/>
      <w:lvlText w:val=""/>
      <w:lvlJc w:val="left"/>
      <w:pPr>
        <w:ind w:left="4320" w:hanging="360"/>
      </w:pPr>
      <w:rPr>
        <w:rFonts w:ascii="Wingdings" w:hAnsi="Wingdings" w:hint="default"/>
      </w:rPr>
    </w:lvl>
    <w:lvl w:ilvl="6" w:tplc="3E862EEA" w:tentative="1">
      <w:start w:val="1"/>
      <w:numFmt w:val="bullet"/>
      <w:lvlText w:val=""/>
      <w:lvlJc w:val="left"/>
      <w:pPr>
        <w:ind w:left="5040" w:hanging="360"/>
      </w:pPr>
      <w:rPr>
        <w:rFonts w:ascii="Symbol" w:hAnsi="Symbol" w:hint="default"/>
      </w:rPr>
    </w:lvl>
    <w:lvl w:ilvl="7" w:tplc="4E72D98C" w:tentative="1">
      <w:start w:val="1"/>
      <w:numFmt w:val="bullet"/>
      <w:lvlText w:val="o"/>
      <w:lvlJc w:val="left"/>
      <w:pPr>
        <w:ind w:left="5760" w:hanging="360"/>
      </w:pPr>
      <w:rPr>
        <w:rFonts w:ascii="Courier New" w:hAnsi="Courier New" w:cs="Courier New" w:hint="default"/>
      </w:rPr>
    </w:lvl>
    <w:lvl w:ilvl="8" w:tplc="5D6C7F6A" w:tentative="1">
      <w:start w:val="1"/>
      <w:numFmt w:val="bullet"/>
      <w:lvlText w:val=""/>
      <w:lvlJc w:val="left"/>
      <w:pPr>
        <w:ind w:left="6480" w:hanging="360"/>
      </w:pPr>
      <w:rPr>
        <w:rFonts w:ascii="Wingdings" w:hAnsi="Wingdings" w:hint="default"/>
      </w:rPr>
    </w:lvl>
  </w:abstractNum>
  <w:abstractNum w:abstractNumId="5" w15:restartNumberingAfterBreak="0">
    <w:nsid w:val="54701EDD"/>
    <w:multiLevelType w:val="hybridMultilevel"/>
    <w:tmpl w:val="99668D0E"/>
    <w:lvl w:ilvl="0" w:tplc="45F06BA6">
      <w:start w:val="1"/>
      <w:numFmt w:val="bullet"/>
      <w:lvlText w:val=""/>
      <w:lvlJc w:val="left"/>
      <w:pPr>
        <w:tabs>
          <w:tab w:val="num" w:pos="720"/>
        </w:tabs>
        <w:ind w:left="720" w:hanging="360"/>
      </w:pPr>
      <w:rPr>
        <w:rFonts w:ascii="Symbol" w:hAnsi="Symbol" w:hint="default"/>
      </w:rPr>
    </w:lvl>
    <w:lvl w:ilvl="1" w:tplc="3796BE68" w:tentative="1">
      <w:start w:val="1"/>
      <w:numFmt w:val="bullet"/>
      <w:lvlText w:val="o"/>
      <w:lvlJc w:val="left"/>
      <w:pPr>
        <w:ind w:left="1440" w:hanging="360"/>
      </w:pPr>
      <w:rPr>
        <w:rFonts w:ascii="Courier New" w:hAnsi="Courier New" w:cs="Courier New" w:hint="default"/>
      </w:rPr>
    </w:lvl>
    <w:lvl w:ilvl="2" w:tplc="2ABE1120" w:tentative="1">
      <w:start w:val="1"/>
      <w:numFmt w:val="bullet"/>
      <w:lvlText w:val=""/>
      <w:lvlJc w:val="left"/>
      <w:pPr>
        <w:ind w:left="2160" w:hanging="360"/>
      </w:pPr>
      <w:rPr>
        <w:rFonts w:ascii="Wingdings" w:hAnsi="Wingdings" w:hint="default"/>
      </w:rPr>
    </w:lvl>
    <w:lvl w:ilvl="3" w:tplc="7F100256" w:tentative="1">
      <w:start w:val="1"/>
      <w:numFmt w:val="bullet"/>
      <w:lvlText w:val=""/>
      <w:lvlJc w:val="left"/>
      <w:pPr>
        <w:ind w:left="2880" w:hanging="360"/>
      </w:pPr>
      <w:rPr>
        <w:rFonts w:ascii="Symbol" w:hAnsi="Symbol" w:hint="default"/>
      </w:rPr>
    </w:lvl>
    <w:lvl w:ilvl="4" w:tplc="D80AADA8" w:tentative="1">
      <w:start w:val="1"/>
      <w:numFmt w:val="bullet"/>
      <w:lvlText w:val="o"/>
      <w:lvlJc w:val="left"/>
      <w:pPr>
        <w:ind w:left="3600" w:hanging="360"/>
      </w:pPr>
      <w:rPr>
        <w:rFonts w:ascii="Courier New" w:hAnsi="Courier New" w:cs="Courier New" w:hint="default"/>
      </w:rPr>
    </w:lvl>
    <w:lvl w:ilvl="5" w:tplc="B20A9DC2" w:tentative="1">
      <w:start w:val="1"/>
      <w:numFmt w:val="bullet"/>
      <w:lvlText w:val=""/>
      <w:lvlJc w:val="left"/>
      <w:pPr>
        <w:ind w:left="4320" w:hanging="360"/>
      </w:pPr>
      <w:rPr>
        <w:rFonts w:ascii="Wingdings" w:hAnsi="Wingdings" w:hint="default"/>
      </w:rPr>
    </w:lvl>
    <w:lvl w:ilvl="6" w:tplc="9E00030A" w:tentative="1">
      <w:start w:val="1"/>
      <w:numFmt w:val="bullet"/>
      <w:lvlText w:val=""/>
      <w:lvlJc w:val="left"/>
      <w:pPr>
        <w:ind w:left="5040" w:hanging="360"/>
      </w:pPr>
      <w:rPr>
        <w:rFonts w:ascii="Symbol" w:hAnsi="Symbol" w:hint="default"/>
      </w:rPr>
    </w:lvl>
    <w:lvl w:ilvl="7" w:tplc="0ECAA78C" w:tentative="1">
      <w:start w:val="1"/>
      <w:numFmt w:val="bullet"/>
      <w:lvlText w:val="o"/>
      <w:lvlJc w:val="left"/>
      <w:pPr>
        <w:ind w:left="5760" w:hanging="360"/>
      </w:pPr>
      <w:rPr>
        <w:rFonts w:ascii="Courier New" w:hAnsi="Courier New" w:cs="Courier New" w:hint="default"/>
      </w:rPr>
    </w:lvl>
    <w:lvl w:ilvl="8" w:tplc="1B5619EE" w:tentative="1">
      <w:start w:val="1"/>
      <w:numFmt w:val="bullet"/>
      <w:lvlText w:val=""/>
      <w:lvlJc w:val="left"/>
      <w:pPr>
        <w:ind w:left="6480" w:hanging="360"/>
      </w:pPr>
      <w:rPr>
        <w:rFonts w:ascii="Wingdings" w:hAnsi="Wingdings" w:hint="default"/>
      </w:rPr>
    </w:lvl>
  </w:abstractNum>
  <w:abstractNum w:abstractNumId="6" w15:restartNumberingAfterBreak="0">
    <w:nsid w:val="656C2A8A"/>
    <w:multiLevelType w:val="hybridMultilevel"/>
    <w:tmpl w:val="0AC69166"/>
    <w:lvl w:ilvl="0" w:tplc="9ED4D0EE">
      <w:start w:val="1"/>
      <w:numFmt w:val="decimal"/>
      <w:lvlText w:val="(%1)"/>
      <w:lvlJc w:val="left"/>
      <w:pPr>
        <w:ind w:left="780" w:hanging="420"/>
      </w:pPr>
      <w:rPr>
        <w:rFonts w:hint="default"/>
      </w:rPr>
    </w:lvl>
    <w:lvl w:ilvl="1" w:tplc="D75A1906" w:tentative="1">
      <w:start w:val="1"/>
      <w:numFmt w:val="lowerLetter"/>
      <w:lvlText w:val="%2."/>
      <w:lvlJc w:val="left"/>
      <w:pPr>
        <w:ind w:left="1440" w:hanging="360"/>
      </w:pPr>
    </w:lvl>
    <w:lvl w:ilvl="2" w:tplc="447A54B8" w:tentative="1">
      <w:start w:val="1"/>
      <w:numFmt w:val="lowerRoman"/>
      <w:lvlText w:val="%3."/>
      <w:lvlJc w:val="right"/>
      <w:pPr>
        <w:ind w:left="2160" w:hanging="180"/>
      </w:pPr>
    </w:lvl>
    <w:lvl w:ilvl="3" w:tplc="9F16A690" w:tentative="1">
      <w:start w:val="1"/>
      <w:numFmt w:val="decimal"/>
      <w:lvlText w:val="%4."/>
      <w:lvlJc w:val="left"/>
      <w:pPr>
        <w:ind w:left="2880" w:hanging="360"/>
      </w:pPr>
    </w:lvl>
    <w:lvl w:ilvl="4" w:tplc="69623C7A" w:tentative="1">
      <w:start w:val="1"/>
      <w:numFmt w:val="lowerLetter"/>
      <w:lvlText w:val="%5."/>
      <w:lvlJc w:val="left"/>
      <w:pPr>
        <w:ind w:left="3600" w:hanging="360"/>
      </w:pPr>
    </w:lvl>
    <w:lvl w:ilvl="5" w:tplc="86143632" w:tentative="1">
      <w:start w:val="1"/>
      <w:numFmt w:val="lowerRoman"/>
      <w:lvlText w:val="%6."/>
      <w:lvlJc w:val="right"/>
      <w:pPr>
        <w:ind w:left="4320" w:hanging="180"/>
      </w:pPr>
    </w:lvl>
    <w:lvl w:ilvl="6" w:tplc="693A5680" w:tentative="1">
      <w:start w:val="1"/>
      <w:numFmt w:val="decimal"/>
      <w:lvlText w:val="%7."/>
      <w:lvlJc w:val="left"/>
      <w:pPr>
        <w:ind w:left="5040" w:hanging="360"/>
      </w:pPr>
    </w:lvl>
    <w:lvl w:ilvl="7" w:tplc="01C43D4E" w:tentative="1">
      <w:start w:val="1"/>
      <w:numFmt w:val="lowerLetter"/>
      <w:lvlText w:val="%8."/>
      <w:lvlJc w:val="left"/>
      <w:pPr>
        <w:ind w:left="5760" w:hanging="360"/>
      </w:pPr>
    </w:lvl>
    <w:lvl w:ilvl="8" w:tplc="28802F44" w:tentative="1">
      <w:start w:val="1"/>
      <w:numFmt w:val="lowerRoman"/>
      <w:lvlText w:val="%9."/>
      <w:lvlJc w:val="right"/>
      <w:pPr>
        <w:ind w:left="6480" w:hanging="180"/>
      </w:pPr>
    </w:lvl>
  </w:abstractNum>
  <w:abstractNum w:abstractNumId="7" w15:restartNumberingAfterBreak="0">
    <w:nsid w:val="66D42447"/>
    <w:multiLevelType w:val="hybridMultilevel"/>
    <w:tmpl w:val="80FE2A84"/>
    <w:lvl w:ilvl="0" w:tplc="69240AA6">
      <w:start w:val="1"/>
      <w:numFmt w:val="decimal"/>
      <w:lvlText w:val="(%1)"/>
      <w:lvlJc w:val="left"/>
      <w:pPr>
        <w:ind w:left="758" w:hanging="398"/>
      </w:pPr>
      <w:rPr>
        <w:rFonts w:hint="default"/>
      </w:rPr>
    </w:lvl>
    <w:lvl w:ilvl="1" w:tplc="F66292D0">
      <w:start w:val="1"/>
      <w:numFmt w:val="upperLetter"/>
      <w:lvlText w:val="(%2)"/>
      <w:lvlJc w:val="left"/>
      <w:pPr>
        <w:ind w:left="1530" w:hanging="450"/>
      </w:pPr>
      <w:rPr>
        <w:rFonts w:hint="default"/>
      </w:rPr>
    </w:lvl>
    <w:lvl w:ilvl="2" w:tplc="C2EA0BAA">
      <w:start w:val="1"/>
      <w:numFmt w:val="lowerRoman"/>
      <w:lvlText w:val="(%3)"/>
      <w:lvlJc w:val="left"/>
      <w:pPr>
        <w:ind w:left="2700" w:hanging="720"/>
      </w:pPr>
      <w:rPr>
        <w:rFonts w:hint="default"/>
      </w:rPr>
    </w:lvl>
    <w:lvl w:ilvl="3" w:tplc="C3922F3E" w:tentative="1">
      <w:start w:val="1"/>
      <w:numFmt w:val="decimal"/>
      <w:lvlText w:val="%4."/>
      <w:lvlJc w:val="left"/>
      <w:pPr>
        <w:ind w:left="2880" w:hanging="360"/>
      </w:pPr>
    </w:lvl>
    <w:lvl w:ilvl="4" w:tplc="BCA49020" w:tentative="1">
      <w:start w:val="1"/>
      <w:numFmt w:val="lowerLetter"/>
      <w:lvlText w:val="%5."/>
      <w:lvlJc w:val="left"/>
      <w:pPr>
        <w:ind w:left="3600" w:hanging="360"/>
      </w:pPr>
    </w:lvl>
    <w:lvl w:ilvl="5" w:tplc="A8A2F8A6" w:tentative="1">
      <w:start w:val="1"/>
      <w:numFmt w:val="lowerRoman"/>
      <w:lvlText w:val="%6."/>
      <w:lvlJc w:val="right"/>
      <w:pPr>
        <w:ind w:left="4320" w:hanging="180"/>
      </w:pPr>
    </w:lvl>
    <w:lvl w:ilvl="6" w:tplc="A46AEB66" w:tentative="1">
      <w:start w:val="1"/>
      <w:numFmt w:val="decimal"/>
      <w:lvlText w:val="%7."/>
      <w:lvlJc w:val="left"/>
      <w:pPr>
        <w:ind w:left="5040" w:hanging="360"/>
      </w:pPr>
    </w:lvl>
    <w:lvl w:ilvl="7" w:tplc="413A9BF0" w:tentative="1">
      <w:start w:val="1"/>
      <w:numFmt w:val="lowerLetter"/>
      <w:lvlText w:val="%8."/>
      <w:lvlJc w:val="left"/>
      <w:pPr>
        <w:ind w:left="5760" w:hanging="360"/>
      </w:pPr>
    </w:lvl>
    <w:lvl w:ilvl="8" w:tplc="D12C3F76" w:tentative="1">
      <w:start w:val="1"/>
      <w:numFmt w:val="lowerRoman"/>
      <w:lvlText w:val="%9."/>
      <w:lvlJc w:val="right"/>
      <w:pPr>
        <w:ind w:left="6480" w:hanging="180"/>
      </w:pPr>
    </w:lvl>
  </w:abstractNum>
  <w:abstractNum w:abstractNumId="8" w15:restartNumberingAfterBreak="0">
    <w:nsid w:val="6CFD054A"/>
    <w:multiLevelType w:val="hybridMultilevel"/>
    <w:tmpl w:val="249E0F62"/>
    <w:lvl w:ilvl="0" w:tplc="6E566C00">
      <w:start w:val="1"/>
      <w:numFmt w:val="bullet"/>
      <w:lvlText w:val=""/>
      <w:lvlJc w:val="left"/>
      <w:pPr>
        <w:tabs>
          <w:tab w:val="num" w:pos="720"/>
        </w:tabs>
        <w:ind w:left="720" w:hanging="360"/>
      </w:pPr>
      <w:rPr>
        <w:rFonts w:ascii="Symbol" w:hAnsi="Symbol" w:hint="default"/>
      </w:rPr>
    </w:lvl>
    <w:lvl w:ilvl="1" w:tplc="B260AB7E" w:tentative="1">
      <w:start w:val="1"/>
      <w:numFmt w:val="bullet"/>
      <w:lvlText w:val="o"/>
      <w:lvlJc w:val="left"/>
      <w:pPr>
        <w:ind w:left="1440" w:hanging="360"/>
      </w:pPr>
      <w:rPr>
        <w:rFonts w:ascii="Courier New" w:hAnsi="Courier New" w:cs="Courier New" w:hint="default"/>
      </w:rPr>
    </w:lvl>
    <w:lvl w:ilvl="2" w:tplc="B364BB90" w:tentative="1">
      <w:start w:val="1"/>
      <w:numFmt w:val="bullet"/>
      <w:lvlText w:val=""/>
      <w:lvlJc w:val="left"/>
      <w:pPr>
        <w:ind w:left="2160" w:hanging="360"/>
      </w:pPr>
      <w:rPr>
        <w:rFonts w:ascii="Wingdings" w:hAnsi="Wingdings" w:hint="default"/>
      </w:rPr>
    </w:lvl>
    <w:lvl w:ilvl="3" w:tplc="37C4D2C6" w:tentative="1">
      <w:start w:val="1"/>
      <w:numFmt w:val="bullet"/>
      <w:lvlText w:val=""/>
      <w:lvlJc w:val="left"/>
      <w:pPr>
        <w:ind w:left="2880" w:hanging="360"/>
      </w:pPr>
      <w:rPr>
        <w:rFonts w:ascii="Symbol" w:hAnsi="Symbol" w:hint="default"/>
      </w:rPr>
    </w:lvl>
    <w:lvl w:ilvl="4" w:tplc="89A400E6" w:tentative="1">
      <w:start w:val="1"/>
      <w:numFmt w:val="bullet"/>
      <w:lvlText w:val="o"/>
      <w:lvlJc w:val="left"/>
      <w:pPr>
        <w:ind w:left="3600" w:hanging="360"/>
      </w:pPr>
      <w:rPr>
        <w:rFonts w:ascii="Courier New" w:hAnsi="Courier New" w:cs="Courier New" w:hint="default"/>
      </w:rPr>
    </w:lvl>
    <w:lvl w:ilvl="5" w:tplc="D74624D8" w:tentative="1">
      <w:start w:val="1"/>
      <w:numFmt w:val="bullet"/>
      <w:lvlText w:val=""/>
      <w:lvlJc w:val="left"/>
      <w:pPr>
        <w:ind w:left="4320" w:hanging="360"/>
      </w:pPr>
      <w:rPr>
        <w:rFonts w:ascii="Wingdings" w:hAnsi="Wingdings" w:hint="default"/>
      </w:rPr>
    </w:lvl>
    <w:lvl w:ilvl="6" w:tplc="C8B8DB7A" w:tentative="1">
      <w:start w:val="1"/>
      <w:numFmt w:val="bullet"/>
      <w:lvlText w:val=""/>
      <w:lvlJc w:val="left"/>
      <w:pPr>
        <w:ind w:left="5040" w:hanging="360"/>
      </w:pPr>
      <w:rPr>
        <w:rFonts w:ascii="Symbol" w:hAnsi="Symbol" w:hint="default"/>
      </w:rPr>
    </w:lvl>
    <w:lvl w:ilvl="7" w:tplc="6CFA2F34" w:tentative="1">
      <w:start w:val="1"/>
      <w:numFmt w:val="bullet"/>
      <w:lvlText w:val="o"/>
      <w:lvlJc w:val="left"/>
      <w:pPr>
        <w:ind w:left="5760" w:hanging="360"/>
      </w:pPr>
      <w:rPr>
        <w:rFonts w:ascii="Courier New" w:hAnsi="Courier New" w:cs="Courier New" w:hint="default"/>
      </w:rPr>
    </w:lvl>
    <w:lvl w:ilvl="8" w:tplc="44947526" w:tentative="1">
      <w:start w:val="1"/>
      <w:numFmt w:val="bullet"/>
      <w:lvlText w:val=""/>
      <w:lvlJc w:val="left"/>
      <w:pPr>
        <w:ind w:left="6480" w:hanging="360"/>
      </w:pPr>
      <w:rPr>
        <w:rFonts w:ascii="Wingdings" w:hAnsi="Wingdings" w:hint="default"/>
      </w:rPr>
    </w:lvl>
  </w:abstractNum>
  <w:abstractNum w:abstractNumId="9" w15:restartNumberingAfterBreak="0">
    <w:nsid w:val="706E7A20"/>
    <w:multiLevelType w:val="hybridMultilevel"/>
    <w:tmpl w:val="968E4188"/>
    <w:lvl w:ilvl="0" w:tplc="EEA25E30">
      <w:start w:val="1"/>
      <w:numFmt w:val="decimal"/>
      <w:lvlText w:val="(%1)"/>
      <w:lvlJc w:val="left"/>
      <w:pPr>
        <w:ind w:left="758" w:hanging="398"/>
      </w:pPr>
      <w:rPr>
        <w:rFonts w:hint="default"/>
      </w:rPr>
    </w:lvl>
    <w:lvl w:ilvl="1" w:tplc="E876ADF2" w:tentative="1">
      <w:start w:val="1"/>
      <w:numFmt w:val="lowerLetter"/>
      <w:lvlText w:val="%2."/>
      <w:lvlJc w:val="left"/>
      <w:pPr>
        <w:ind w:left="1440" w:hanging="360"/>
      </w:pPr>
    </w:lvl>
    <w:lvl w:ilvl="2" w:tplc="CC100922" w:tentative="1">
      <w:start w:val="1"/>
      <w:numFmt w:val="lowerRoman"/>
      <w:lvlText w:val="%3."/>
      <w:lvlJc w:val="right"/>
      <w:pPr>
        <w:ind w:left="2160" w:hanging="180"/>
      </w:pPr>
    </w:lvl>
    <w:lvl w:ilvl="3" w:tplc="CA408080" w:tentative="1">
      <w:start w:val="1"/>
      <w:numFmt w:val="decimal"/>
      <w:lvlText w:val="%4."/>
      <w:lvlJc w:val="left"/>
      <w:pPr>
        <w:ind w:left="2880" w:hanging="360"/>
      </w:pPr>
    </w:lvl>
    <w:lvl w:ilvl="4" w:tplc="2A1E4488" w:tentative="1">
      <w:start w:val="1"/>
      <w:numFmt w:val="lowerLetter"/>
      <w:lvlText w:val="%5."/>
      <w:lvlJc w:val="left"/>
      <w:pPr>
        <w:ind w:left="3600" w:hanging="360"/>
      </w:pPr>
    </w:lvl>
    <w:lvl w:ilvl="5" w:tplc="955677AC" w:tentative="1">
      <w:start w:val="1"/>
      <w:numFmt w:val="lowerRoman"/>
      <w:lvlText w:val="%6."/>
      <w:lvlJc w:val="right"/>
      <w:pPr>
        <w:ind w:left="4320" w:hanging="180"/>
      </w:pPr>
    </w:lvl>
    <w:lvl w:ilvl="6" w:tplc="9D6C9EF4" w:tentative="1">
      <w:start w:val="1"/>
      <w:numFmt w:val="decimal"/>
      <w:lvlText w:val="%7."/>
      <w:lvlJc w:val="left"/>
      <w:pPr>
        <w:ind w:left="5040" w:hanging="360"/>
      </w:pPr>
    </w:lvl>
    <w:lvl w:ilvl="7" w:tplc="60284B48" w:tentative="1">
      <w:start w:val="1"/>
      <w:numFmt w:val="lowerLetter"/>
      <w:lvlText w:val="%8."/>
      <w:lvlJc w:val="left"/>
      <w:pPr>
        <w:ind w:left="5760" w:hanging="360"/>
      </w:pPr>
    </w:lvl>
    <w:lvl w:ilvl="8" w:tplc="811A2BE6" w:tentative="1">
      <w:start w:val="1"/>
      <w:numFmt w:val="lowerRoman"/>
      <w:lvlText w:val="%9."/>
      <w:lvlJc w:val="right"/>
      <w:pPr>
        <w:ind w:left="6480" w:hanging="180"/>
      </w:pPr>
    </w:lvl>
  </w:abstractNum>
  <w:num w:numId="1" w16cid:durableId="1750808923">
    <w:abstractNumId w:val="2"/>
  </w:num>
  <w:num w:numId="2" w16cid:durableId="2139448126">
    <w:abstractNumId w:val="5"/>
  </w:num>
  <w:num w:numId="3" w16cid:durableId="714354546">
    <w:abstractNumId w:val="3"/>
  </w:num>
  <w:num w:numId="4" w16cid:durableId="1774015025">
    <w:abstractNumId w:val="0"/>
  </w:num>
  <w:num w:numId="5" w16cid:durableId="294260507">
    <w:abstractNumId w:val="6"/>
  </w:num>
  <w:num w:numId="6" w16cid:durableId="1554583870">
    <w:abstractNumId w:val="1"/>
  </w:num>
  <w:num w:numId="7" w16cid:durableId="1235239777">
    <w:abstractNumId w:val="7"/>
  </w:num>
  <w:num w:numId="8" w16cid:durableId="490949326">
    <w:abstractNumId w:val="4"/>
  </w:num>
  <w:num w:numId="9" w16cid:durableId="1644045433">
    <w:abstractNumId w:val="9"/>
  </w:num>
  <w:num w:numId="10" w16cid:durableId="21134266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8B"/>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4E0D"/>
    <w:rsid w:val="0004512B"/>
    <w:rsid w:val="000463F0"/>
    <w:rsid w:val="00046BDA"/>
    <w:rsid w:val="0004762E"/>
    <w:rsid w:val="000532BD"/>
    <w:rsid w:val="000555E0"/>
    <w:rsid w:val="00055C12"/>
    <w:rsid w:val="000608B0"/>
    <w:rsid w:val="0006104C"/>
    <w:rsid w:val="00064BF2"/>
    <w:rsid w:val="000667BA"/>
    <w:rsid w:val="000676A7"/>
    <w:rsid w:val="000712DB"/>
    <w:rsid w:val="00073914"/>
    <w:rsid w:val="00074236"/>
    <w:rsid w:val="000746BD"/>
    <w:rsid w:val="00076D7D"/>
    <w:rsid w:val="00080D95"/>
    <w:rsid w:val="00090E6B"/>
    <w:rsid w:val="00091B2C"/>
    <w:rsid w:val="00092ABC"/>
    <w:rsid w:val="00097AAF"/>
    <w:rsid w:val="00097D13"/>
    <w:rsid w:val="000A4893"/>
    <w:rsid w:val="000A4ABB"/>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2F0B"/>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518F"/>
    <w:rsid w:val="001664C2"/>
    <w:rsid w:val="00171BF2"/>
    <w:rsid w:val="0017347B"/>
    <w:rsid w:val="0017725B"/>
    <w:rsid w:val="0018050C"/>
    <w:rsid w:val="0018117F"/>
    <w:rsid w:val="001824ED"/>
    <w:rsid w:val="00183262"/>
    <w:rsid w:val="0018478F"/>
    <w:rsid w:val="00184B03"/>
    <w:rsid w:val="00185C59"/>
    <w:rsid w:val="00186214"/>
    <w:rsid w:val="00187C1B"/>
    <w:rsid w:val="001908AC"/>
    <w:rsid w:val="00190CFB"/>
    <w:rsid w:val="0019457A"/>
    <w:rsid w:val="001948D7"/>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6AF4"/>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2D99"/>
    <w:rsid w:val="002874E3"/>
    <w:rsid w:val="00287656"/>
    <w:rsid w:val="00291518"/>
    <w:rsid w:val="00296FF0"/>
    <w:rsid w:val="002A17C0"/>
    <w:rsid w:val="002A48DF"/>
    <w:rsid w:val="002A5A02"/>
    <w:rsid w:val="002A5A84"/>
    <w:rsid w:val="002A6E68"/>
    <w:rsid w:val="002A6E6F"/>
    <w:rsid w:val="002A74E4"/>
    <w:rsid w:val="002A7CFE"/>
    <w:rsid w:val="002B26DD"/>
    <w:rsid w:val="002B2870"/>
    <w:rsid w:val="002B391B"/>
    <w:rsid w:val="002B5B42"/>
    <w:rsid w:val="002B773E"/>
    <w:rsid w:val="002B7BA7"/>
    <w:rsid w:val="002C1C17"/>
    <w:rsid w:val="002C3203"/>
    <w:rsid w:val="002C3B07"/>
    <w:rsid w:val="002C532B"/>
    <w:rsid w:val="002C5713"/>
    <w:rsid w:val="002C6E00"/>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59C0"/>
    <w:rsid w:val="00377E3D"/>
    <w:rsid w:val="003847E8"/>
    <w:rsid w:val="0038731D"/>
    <w:rsid w:val="00387B60"/>
    <w:rsid w:val="00390098"/>
    <w:rsid w:val="00392DA1"/>
    <w:rsid w:val="00393718"/>
    <w:rsid w:val="003A0296"/>
    <w:rsid w:val="003A10BC"/>
    <w:rsid w:val="003A3BB3"/>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4BFB"/>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120"/>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4DD8"/>
    <w:rsid w:val="0049682B"/>
    <w:rsid w:val="004977A3"/>
    <w:rsid w:val="004A03F7"/>
    <w:rsid w:val="004A081C"/>
    <w:rsid w:val="004A123F"/>
    <w:rsid w:val="004A2172"/>
    <w:rsid w:val="004A239F"/>
    <w:rsid w:val="004B138F"/>
    <w:rsid w:val="004B412A"/>
    <w:rsid w:val="004B576C"/>
    <w:rsid w:val="004B5E5B"/>
    <w:rsid w:val="004B772A"/>
    <w:rsid w:val="004C00AD"/>
    <w:rsid w:val="004C302F"/>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68D"/>
    <w:rsid w:val="006049F5"/>
    <w:rsid w:val="00605F7B"/>
    <w:rsid w:val="00607E64"/>
    <w:rsid w:val="006106E9"/>
    <w:rsid w:val="0061159E"/>
    <w:rsid w:val="00614633"/>
    <w:rsid w:val="00614BC8"/>
    <w:rsid w:val="006151FB"/>
    <w:rsid w:val="00617411"/>
    <w:rsid w:val="006249CB"/>
    <w:rsid w:val="006272DD"/>
    <w:rsid w:val="00630963"/>
    <w:rsid w:val="006314B7"/>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370B"/>
    <w:rsid w:val="0066485B"/>
    <w:rsid w:val="00666E21"/>
    <w:rsid w:val="0067036E"/>
    <w:rsid w:val="00671693"/>
    <w:rsid w:val="006757AA"/>
    <w:rsid w:val="0068127E"/>
    <w:rsid w:val="00681790"/>
    <w:rsid w:val="006823AA"/>
    <w:rsid w:val="00682D01"/>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0C8F"/>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56190"/>
    <w:rsid w:val="00764786"/>
    <w:rsid w:val="00766E12"/>
    <w:rsid w:val="0077098E"/>
    <w:rsid w:val="00771287"/>
    <w:rsid w:val="0077149E"/>
    <w:rsid w:val="00772375"/>
    <w:rsid w:val="00777518"/>
    <w:rsid w:val="0077779E"/>
    <w:rsid w:val="00777CB8"/>
    <w:rsid w:val="00780FB6"/>
    <w:rsid w:val="0078552A"/>
    <w:rsid w:val="00785729"/>
    <w:rsid w:val="00786058"/>
    <w:rsid w:val="0079487D"/>
    <w:rsid w:val="007966D4"/>
    <w:rsid w:val="00796A0A"/>
    <w:rsid w:val="0079792C"/>
    <w:rsid w:val="007A0989"/>
    <w:rsid w:val="007A112D"/>
    <w:rsid w:val="007A331F"/>
    <w:rsid w:val="007A3844"/>
    <w:rsid w:val="007A4381"/>
    <w:rsid w:val="007A5466"/>
    <w:rsid w:val="007A715D"/>
    <w:rsid w:val="007A7EC1"/>
    <w:rsid w:val="007B4FCA"/>
    <w:rsid w:val="007B7B85"/>
    <w:rsid w:val="007C03A9"/>
    <w:rsid w:val="007C0B18"/>
    <w:rsid w:val="007C1CB4"/>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7BE9"/>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8FC"/>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47437"/>
    <w:rsid w:val="00953499"/>
    <w:rsid w:val="00954A16"/>
    <w:rsid w:val="0095696D"/>
    <w:rsid w:val="00960F2D"/>
    <w:rsid w:val="00962567"/>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222"/>
    <w:rsid w:val="009E69C2"/>
    <w:rsid w:val="009E70AF"/>
    <w:rsid w:val="009E7AEB"/>
    <w:rsid w:val="009F1B37"/>
    <w:rsid w:val="009F30F6"/>
    <w:rsid w:val="009F3986"/>
    <w:rsid w:val="009F4B4A"/>
    <w:rsid w:val="009F4EB0"/>
    <w:rsid w:val="009F4F2B"/>
    <w:rsid w:val="009F513E"/>
    <w:rsid w:val="009F5802"/>
    <w:rsid w:val="009F5EAD"/>
    <w:rsid w:val="009F64AE"/>
    <w:rsid w:val="00A0042D"/>
    <w:rsid w:val="00A0053A"/>
    <w:rsid w:val="00A00A6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3D7B"/>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7A8B"/>
    <w:rsid w:val="00A70E35"/>
    <w:rsid w:val="00A720DC"/>
    <w:rsid w:val="00A803CF"/>
    <w:rsid w:val="00A8133F"/>
    <w:rsid w:val="00A82CB4"/>
    <w:rsid w:val="00A837A8"/>
    <w:rsid w:val="00A83C36"/>
    <w:rsid w:val="00A8764A"/>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384"/>
    <w:rsid w:val="00B31F0E"/>
    <w:rsid w:val="00B34F25"/>
    <w:rsid w:val="00B43672"/>
    <w:rsid w:val="00B473D8"/>
    <w:rsid w:val="00B47464"/>
    <w:rsid w:val="00B5165A"/>
    <w:rsid w:val="00B517F7"/>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3613"/>
    <w:rsid w:val="00B90097"/>
    <w:rsid w:val="00B90999"/>
    <w:rsid w:val="00B91AD7"/>
    <w:rsid w:val="00B92D23"/>
    <w:rsid w:val="00B95BC8"/>
    <w:rsid w:val="00B967B3"/>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69D5"/>
    <w:rsid w:val="00C4710D"/>
    <w:rsid w:val="00C50CAD"/>
    <w:rsid w:val="00C57933"/>
    <w:rsid w:val="00C60206"/>
    <w:rsid w:val="00C615D4"/>
    <w:rsid w:val="00C61B5D"/>
    <w:rsid w:val="00C61C0E"/>
    <w:rsid w:val="00C61C64"/>
    <w:rsid w:val="00C61CDA"/>
    <w:rsid w:val="00C65517"/>
    <w:rsid w:val="00C713C2"/>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8F2"/>
    <w:rsid w:val="00C95150"/>
    <w:rsid w:val="00C95A73"/>
    <w:rsid w:val="00CA02B0"/>
    <w:rsid w:val="00CA032E"/>
    <w:rsid w:val="00CA2182"/>
    <w:rsid w:val="00CA2186"/>
    <w:rsid w:val="00CA26EF"/>
    <w:rsid w:val="00CA3608"/>
    <w:rsid w:val="00CA3F2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962"/>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394"/>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47C5"/>
    <w:rsid w:val="00D76631"/>
    <w:rsid w:val="00D768B7"/>
    <w:rsid w:val="00D77492"/>
    <w:rsid w:val="00D77A23"/>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224"/>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1F0D"/>
    <w:rsid w:val="00E529C8"/>
    <w:rsid w:val="00E55DA0"/>
    <w:rsid w:val="00E56033"/>
    <w:rsid w:val="00E61159"/>
    <w:rsid w:val="00E625DA"/>
    <w:rsid w:val="00E634DC"/>
    <w:rsid w:val="00E667F3"/>
    <w:rsid w:val="00E6683C"/>
    <w:rsid w:val="00E66F5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33ED"/>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0C8B"/>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77B84"/>
    <w:rsid w:val="00F82811"/>
    <w:rsid w:val="00F83F8D"/>
    <w:rsid w:val="00F84153"/>
    <w:rsid w:val="00F85661"/>
    <w:rsid w:val="00F90453"/>
    <w:rsid w:val="00F96602"/>
    <w:rsid w:val="00F9735A"/>
    <w:rsid w:val="00FA32FC"/>
    <w:rsid w:val="00FA59FD"/>
    <w:rsid w:val="00FA5D8C"/>
    <w:rsid w:val="00FA6403"/>
    <w:rsid w:val="00FA7351"/>
    <w:rsid w:val="00FB16CD"/>
    <w:rsid w:val="00FB5780"/>
    <w:rsid w:val="00FB73AE"/>
    <w:rsid w:val="00FC5388"/>
    <w:rsid w:val="00FC726C"/>
    <w:rsid w:val="00FD1B4B"/>
    <w:rsid w:val="00FD1B94"/>
    <w:rsid w:val="00FE19C5"/>
    <w:rsid w:val="00FE4286"/>
    <w:rsid w:val="00FE48C3"/>
    <w:rsid w:val="00FE5909"/>
    <w:rsid w:val="00FE652E"/>
    <w:rsid w:val="00FE6F56"/>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19AA62-8433-494D-94A5-6BD75AC5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F30F6"/>
    <w:rPr>
      <w:sz w:val="16"/>
      <w:szCs w:val="16"/>
    </w:rPr>
  </w:style>
  <w:style w:type="paragraph" w:styleId="CommentText">
    <w:name w:val="annotation text"/>
    <w:basedOn w:val="Normal"/>
    <w:link w:val="CommentTextChar"/>
    <w:unhideWhenUsed/>
    <w:rsid w:val="009F30F6"/>
    <w:rPr>
      <w:sz w:val="20"/>
      <w:szCs w:val="20"/>
    </w:rPr>
  </w:style>
  <w:style w:type="character" w:customStyle="1" w:styleId="CommentTextChar">
    <w:name w:val="Comment Text Char"/>
    <w:basedOn w:val="DefaultParagraphFont"/>
    <w:link w:val="CommentText"/>
    <w:rsid w:val="009F30F6"/>
  </w:style>
  <w:style w:type="paragraph" w:styleId="CommentSubject">
    <w:name w:val="annotation subject"/>
    <w:basedOn w:val="CommentText"/>
    <w:next w:val="CommentText"/>
    <w:link w:val="CommentSubjectChar"/>
    <w:semiHidden/>
    <w:unhideWhenUsed/>
    <w:rsid w:val="009F30F6"/>
    <w:rPr>
      <w:b/>
      <w:bCs/>
    </w:rPr>
  </w:style>
  <w:style w:type="character" w:customStyle="1" w:styleId="CommentSubjectChar">
    <w:name w:val="Comment Subject Char"/>
    <w:basedOn w:val="CommentTextChar"/>
    <w:link w:val="CommentSubject"/>
    <w:semiHidden/>
    <w:rsid w:val="009F30F6"/>
    <w:rPr>
      <w:b/>
      <w:bCs/>
    </w:rPr>
  </w:style>
  <w:style w:type="paragraph" w:styleId="Revision">
    <w:name w:val="Revision"/>
    <w:hidden/>
    <w:uiPriority w:val="99"/>
    <w:semiHidden/>
    <w:rsid w:val="00C655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1746</Words>
  <Characters>9077</Characters>
  <Application>Microsoft Office Word</Application>
  <DocSecurity>0</DocSecurity>
  <Lines>177</Lines>
  <Paragraphs>60</Paragraphs>
  <ScaleCrop>false</ScaleCrop>
  <HeadingPairs>
    <vt:vector size="2" baseType="variant">
      <vt:variant>
        <vt:lpstr>Title</vt:lpstr>
      </vt:variant>
      <vt:variant>
        <vt:i4>1</vt:i4>
      </vt:variant>
    </vt:vector>
  </HeadingPairs>
  <TitlesOfParts>
    <vt:vector size="1" baseType="lpstr">
      <vt:lpstr>BA - SB01150 (Committee Report (Substituted))</vt:lpstr>
    </vt:vector>
  </TitlesOfParts>
  <Company>State of Texas</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29671</dc:subject>
  <dc:creator>State of Texas</dc:creator>
  <dc:description>SB 1150 by Middleton-(H)Energy Resources (Substitute Document Number: 89R 27760)</dc:description>
  <cp:lastModifiedBy>Damian Duarte</cp:lastModifiedBy>
  <cp:revision>2</cp:revision>
  <cp:lastPrinted>2003-11-26T17:21:00Z</cp:lastPrinted>
  <dcterms:created xsi:type="dcterms:W3CDTF">2025-05-16T21:08:00Z</dcterms:created>
  <dcterms:modified xsi:type="dcterms:W3CDTF">2025-05-16T21:08:00Z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25.133.316</vt:lpwstr>
  </property>
</Properties>
</file>