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16CE6" w14:paraId="41C1A40D" w14:textId="77777777" w:rsidTr="00345119">
        <w:tc>
          <w:tcPr>
            <w:tcW w:w="9576" w:type="dxa"/>
            <w:noWrap/>
          </w:tcPr>
          <w:p w14:paraId="62E68D25" w14:textId="77777777" w:rsidR="008423E4" w:rsidRPr="0022177D" w:rsidRDefault="00011A92" w:rsidP="00201F69">
            <w:pPr>
              <w:pStyle w:val="Heading1"/>
            </w:pPr>
            <w:r w:rsidRPr="00631897">
              <w:t>BILL ANALYSIS</w:t>
            </w:r>
          </w:p>
        </w:tc>
      </w:tr>
    </w:tbl>
    <w:p w14:paraId="3CBF57DF" w14:textId="77777777" w:rsidR="008423E4" w:rsidRPr="0022177D" w:rsidRDefault="008423E4" w:rsidP="00201F69">
      <w:pPr>
        <w:jc w:val="center"/>
      </w:pPr>
    </w:p>
    <w:p w14:paraId="139AD4FD" w14:textId="77777777" w:rsidR="008423E4" w:rsidRPr="00B31F0E" w:rsidRDefault="008423E4" w:rsidP="00201F69"/>
    <w:p w14:paraId="35E9B29F" w14:textId="77777777" w:rsidR="008423E4" w:rsidRPr="00742794" w:rsidRDefault="008423E4" w:rsidP="00201F6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16CE6" w14:paraId="118A7D76" w14:textId="77777777" w:rsidTr="00345119">
        <w:tc>
          <w:tcPr>
            <w:tcW w:w="9576" w:type="dxa"/>
          </w:tcPr>
          <w:p w14:paraId="617646E4" w14:textId="42E4D9A8" w:rsidR="008423E4" w:rsidRPr="00861995" w:rsidRDefault="00011A92" w:rsidP="00201F69">
            <w:pPr>
              <w:jc w:val="right"/>
            </w:pPr>
            <w:r>
              <w:t>C.S.S.B. 1202</w:t>
            </w:r>
          </w:p>
        </w:tc>
      </w:tr>
      <w:tr w:rsidR="00D16CE6" w14:paraId="3E616464" w14:textId="77777777" w:rsidTr="00345119">
        <w:tc>
          <w:tcPr>
            <w:tcW w:w="9576" w:type="dxa"/>
          </w:tcPr>
          <w:p w14:paraId="08FBC92C" w14:textId="7AB56FD1" w:rsidR="008423E4" w:rsidRPr="00861995" w:rsidRDefault="00011A92" w:rsidP="00201F69">
            <w:pPr>
              <w:jc w:val="right"/>
            </w:pPr>
            <w:r>
              <w:t xml:space="preserve">By: </w:t>
            </w:r>
            <w:r w:rsidR="00D7687A">
              <w:t>King</w:t>
            </w:r>
          </w:p>
        </w:tc>
      </w:tr>
      <w:tr w:rsidR="00D16CE6" w14:paraId="13D7DE71" w14:textId="77777777" w:rsidTr="00345119">
        <w:tc>
          <w:tcPr>
            <w:tcW w:w="9576" w:type="dxa"/>
          </w:tcPr>
          <w:p w14:paraId="39552E24" w14:textId="1730F9BA" w:rsidR="008423E4" w:rsidRPr="00861995" w:rsidRDefault="00011A92" w:rsidP="00201F69">
            <w:pPr>
              <w:jc w:val="right"/>
            </w:pPr>
            <w:r>
              <w:t>Land &amp; Resource Management</w:t>
            </w:r>
          </w:p>
        </w:tc>
      </w:tr>
      <w:tr w:rsidR="00D16CE6" w14:paraId="7206412F" w14:textId="77777777" w:rsidTr="00345119">
        <w:tc>
          <w:tcPr>
            <w:tcW w:w="9576" w:type="dxa"/>
          </w:tcPr>
          <w:p w14:paraId="5B7D53D7" w14:textId="2AFEB2D6" w:rsidR="008423E4" w:rsidRDefault="00011A92" w:rsidP="00201F69">
            <w:pPr>
              <w:jc w:val="right"/>
            </w:pPr>
            <w:r>
              <w:t>Committee Report (Substituted)</w:t>
            </w:r>
          </w:p>
        </w:tc>
      </w:tr>
    </w:tbl>
    <w:p w14:paraId="74FF9F5B" w14:textId="77777777" w:rsidR="008423E4" w:rsidRDefault="008423E4" w:rsidP="00201F69">
      <w:pPr>
        <w:tabs>
          <w:tab w:val="right" w:pos="9360"/>
        </w:tabs>
      </w:pPr>
    </w:p>
    <w:p w14:paraId="0D916CDC" w14:textId="77777777" w:rsidR="008423E4" w:rsidRDefault="008423E4" w:rsidP="00201F69"/>
    <w:p w14:paraId="1F09DEB5" w14:textId="77777777" w:rsidR="008423E4" w:rsidRDefault="008423E4" w:rsidP="00201F6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16CE6" w14:paraId="3E73C54A" w14:textId="77777777" w:rsidTr="00201F69">
        <w:tc>
          <w:tcPr>
            <w:tcW w:w="9360" w:type="dxa"/>
          </w:tcPr>
          <w:p w14:paraId="58B194BA" w14:textId="77777777" w:rsidR="008423E4" w:rsidRPr="00A8133F" w:rsidRDefault="00011A92" w:rsidP="00201F6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A38EA5" w14:textId="77777777" w:rsidR="008423E4" w:rsidRDefault="008423E4" w:rsidP="00201F69"/>
          <w:p w14:paraId="30A41913" w14:textId="128C0747" w:rsidR="008423E4" w:rsidRDefault="00011A92" w:rsidP="00201F69">
            <w:pPr>
              <w:pStyle w:val="Header"/>
              <w:jc w:val="both"/>
            </w:pPr>
            <w:r>
              <w:t>The bill sponsor has informed the committee that a</w:t>
            </w:r>
            <w:r w:rsidRPr="007B51F6">
              <w:t xml:space="preserve">n analysis conducted by consultants </w:t>
            </w:r>
            <w:r w:rsidR="00213250">
              <w:t xml:space="preserve">at </w:t>
            </w:r>
            <w:r w:rsidRPr="007B51F6">
              <w:t>McKinsey &amp; Co</w:t>
            </w:r>
            <w:r>
              <w:t>mpany</w:t>
            </w:r>
            <w:r w:rsidRPr="007B51F6">
              <w:t xml:space="preserve"> revealed that administrative barriers to the plan review process have led to delayed municipal permitting</w:t>
            </w:r>
            <w:r w:rsidR="00213250">
              <w:t xml:space="preserve"> and that t</w:t>
            </w:r>
            <w:r w:rsidRPr="007B51F6">
              <w:t xml:space="preserve">his analysis shows that burdensome municipal regulations hamper Texas residents who wish to install home backup power generation. </w:t>
            </w:r>
            <w:r>
              <w:t>The bill sponsor has also informed the committee that r</w:t>
            </w:r>
            <w:r w:rsidRPr="007B51F6">
              <w:t xml:space="preserve">egulatory bottlenecks, costly fees, and slow permitting processes can cause property owners to wait months before receiving permission to install backup power systems across Texas at a time when Texans </w:t>
            </w:r>
            <w:r>
              <w:t xml:space="preserve">are </w:t>
            </w:r>
            <w:r w:rsidRPr="007B51F6">
              <w:t>seek</w:t>
            </w:r>
            <w:r>
              <w:t>ing</w:t>
            </w:r>
            <w:r w:rsidRPr="007B51F6">
              <w:t xml:space="preserve"> to prepare for catastrophic weather events.</w:t>
            </w:r>
            <w:r>
              <w:t xml:space="preserve"> C.S.S.B. 1202 seeks to </w:t>
            </w:r>
            <w:r w:rsidR="00837609">
              <w:t>remedy this issue</w:t>
            </w:r>
            <w:r>
              <w:t xml:space="preserve"> by providing for certain third</w:t>
            </w:r>
            <w:r w:rsidR="00837609">
              <w:t xml:space="preserve"> </w:t>
            </w:r>
            <w:r>
              <w:t xml:space="preserve">parties </w:t>
            </w:r>
            <w:r w:rsidR="00837609">
              <w:t xml:space="preserve">to review </w:t>
            </w:r>
            <w:r>
              <w:t xml:space="preserve">development documents and conduct </w:t>
            </w:r>
            <w:r w:rsidR="00837609">
              <w:t xml:space="preserve">development </w:t>
            </w:r>
            <w:r>
              <w:t>inspections required to install home backup power generation</w:t>
            </w:r>
            <w:r w:rsidR="00837609">
              <w:t xml:space="preserve"> as an alternative to review and inspection by </w:t>
            </w:r>
            <w:r>
              <w:t xml:space="preserve">the regulatory authority. </w:t>
            </w:r>
          </w:p>
          <w:p w14:paraId="2262AC2B" w14:textId="77777777" w:rsidR="008423E4" w:rsidRPr="00E26B13" w:rsidRDefault="008423E4" w:rsidP="00201F69">
            <w:pPr>
              <w:rPr>
                <w:b/>
              </w:rPr>
            </w:pPr>
          </w:p>
        </w:tc>
      </w:tr>
      <w:tr w:rsidR="00D16CE6" w14:paraId="09A790D6" w14:textId="77777777" w:rsidTr="00201F69">
        <w:tc>
          <w:tcPr>
            <w:tcW w:w="9360" w:type="dxa"/>
          </w:tcPr>
          <w:p w14:paraId="7A646F49" w14:textId="77777777" w:rsidR="0017725B" w:rsidRDefault="00011A92" w:rsidP="00201F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A0E47B1" w14:textId="77777777" w:rsidR="0017725B" w:rsidRDefault="0017725B" w:rsidP="00201F69">
            <w:pPr>
              <w:rPr>
                <w:b/>
                <w:u w:val="single"/>
              </w:rPr>
            </w:pPr>
          </w:p>
          <w:p w14:paraId="3EFDF226" w14:textId="2F3F6EE7" w:rsidR="00AB7D3B" w:rsidRPr="00AB7D3B" w:rsidRDefault="00011A92" w:rsidP="00201F6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BA23A69" w14:textId="77777777" w:rsidR="0017725B" w:rsidRPr="0017725B" w:rsidRDefault="0017725B" w:rsidP="00201F69">
            <w:pPr>
              <w:rPr>
                <w:b/>
                <w:u w:val="single"/>
              </w:rPr>
            </w:pPr>
          </w:p>
        </w:tc>
      </w:tr>
      <w:tr w:rsidR="00D16CE6" w14:paraId="32C8C736" w14:textId="77777777" w:rsidTr="00201F69">
        <w:tc>
          <w:tcPr>
            <w:tcW w:w="9360" w:type="dxa"/>
          </w:tcPr>
          <w:p w14:paraId="7C6C082D" w14:textId="77777777" w:rsidR="008423E4" w:rsidRPr="00A8133F" w:rsidRDefault="00011A92" w:rsidP="00201F6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782AD84" w14:textId="77777777" w:rsidR="008423E4" w:rsidRDefault="008423E4" w:rsidP="00201F69"/>
          <w:p w14:paraId="3630EDBD" w14:textId="0E1D4C65" w:rsidR="00AB7D3B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1426E26A" w14:textId="77777777" w:rsidR="008423E4" w:rsidRPr="00E21FDC" w:rsidRDefault="008423E4" w:rsidP="00201F69">
            <w:pPr>
              <w:rPr>
                <w:b/>
              </w:rPr>
            </w:pPr>
          </w:p>
        </w:tc>
      </w:tr>
      <w:tr w:rsidR="00D16CE6" w14:paraId="0780F660" w14:textId="77777777" w:rsidTr="00201F69">
        <w:tc>
          <w:tcPr>
            <w:tcW w:w="9360" w:type="dxa"/>
          </w:tcPr>
          <w:p w14:paraId="5B8F4020" w14:textId="77777777" w:rsidR="008423E4" w:rsidRPr="00A8133F" w:rsidRDefault="00011A92" w:rsidP="00201F6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9BFFD7" w14:textId="77777777" w:rsidR="008423E4" w:rsidRDefault="008423E4" w:rsidP="00201F69"/>
          <w:p w14:paraId="00867989" w14:textId="012C9D65" w:rsidR="000530AC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A6D14">
              <w:t>S.B. 1202</w:t>
            </w:r>
            <w:r w:rsidR="002304CB">
              <w:t xml:space="preserve"> amends the Local Government Code</w:t>
            </w:r>
            <w:r>
              <w:t xml:space="preserve"> to provide for the following, with respect to </w:t>
            </w:r>
            <w:r w:rsidR="001D3E8B">
              <w:t xml:space="preserve">the </w:t>
            </w:r>
            <w:r>
              <w:t>state law</w:t>
            </w:r>
            <w:r w:rsidR="002304CB">
              <w:t xml:space="preserve"> authoriz</w:t>
            </w:r>
            <w:r>
              <w:t>ing</w:t>
            </w:r>
            <w:r w:rsidR="002304CB">
              <w:t xml:space="preserve"> </w:t>
            </w:r>
            <w:r w:rsidR="002304CB" w:rsidRPr="002304CB">
              <w:t>a</w:t>
            </w:r>
            <w:r w:rsidR="00103A60">
              <w:t xml:space="preserve"> person </w:t>
            </w:r>
            <w:r>
              <w:t>to</w:t>
            </w:r>
            <w:r w:rsidR="00AB7D3B">
              <w:t xml:space="preserve"> perform</w:t>
            </w:r>
            <w:r w:rsidR="00103A60">
              <w:t xml:space="preserve"> a third-party</w:t>
            </w:r>
            <w:r w:rsidR="00AB7D3B">
              <w:t xml:space="preserve"> review</w:t>
            </w:r>
            <w:r w:rsidR="002245B7">
              <w:t xml:space="preserve"> </w:t>
            </w:r>
            <w:r>
              <w:t>or conduct an inspection</w:t>
            </w:r>
            <w:r w:rsidR="001D3E8B">
              <w:t>, as applicable,</w:t>
            </w:r>
            <w:r>
              <w:t xml:space="preserve"> </w:t>
            </w:r>
            <w:r w:rsidR="002245B7">
              <w:t xml:space="preserve">of a property development document </w:t>
            </w:r>
            <w:r w:rsidR="00E60A85">
              <w:t>when a regulatory authority does not approve, conditionally approve, or disapprove such a document</w:t>
            </w:r>
            <w:r w:rsidR="00E60A85" w:rsidRPr="00201F69">
              <w:t xml:space="preserve"> by the statutory deadline</w:t>
            </w:r>
            <w:r w:rsidRPr="000530AC">
              <w:t>:</w:t>
            </w:r>
          </w:p>
          <w:p w14:paraId="4CA4E971" w14:textId="444AF5C1" w:rsidR="000530AC" w:rsidRDefault="00011A92" w:rsidP="00201F6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</w:t>
            </w:r>
            <w:r w:rsidR="001D3E8B">
              <w:t>s</w:t>
            </w:r>
            <w:r>
              <w:t xml:space="preserve"> a person </w:t>
            </w:r>
            <w:r w:rsidR="00A179F5">
              <w:t>who may perform such a review</w:t>
            </w:r>
            <w:r w:rsidR="00E60A85">
              <w:t xml:space="preserve"> </w:t>
            </w:r>
            <w:r w:rsidR="00D92836">
              <w:t>to</w:t>
            </w:r>
            <w:r w:rsidR="00103A60">
              <w:t xml:space="preserve"> review </w:t>
            </w:r>
            <w:r w:rsidR="00D92836" w:rsidRPr="00D92836">
              <w:t>a development document required by a regulatory authority to install a home backup power installation without having to submit the document to the authority for review</w:t>
            </w:r>
            <w:r>
              <w:t>; and</w:t>
            </w:r>
          </w:p>
          <w:p w14:paraId="55114AD8" w14:textId="20F3E90B" w:rsidR="000530AC" w:rsidRDefault="00011A92" w:rsidP="00201F6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a person </w:t>
            </w:r>
            <w:r w:rsidR="0002604C">
              <w:t xml:space="preserve">who may </w:t>
            </w:r>
            <w:r>
              <w:t>conduct</w:t>
            </w:r>
            <w:r w:rsidR="00AB7D3B">
              <w:t xml:space="preserve"> </w:t>
            </w:r>
            <w:r w:rsidR="00A179F5">
              <w:t xml:space="preserve">such </w:t>
            </w:r>
            <w:r w:rsidR="00AB7D3B">
              <w:t>a</w:t>
            </w:r>
            <w:r w:rsidR="00A179F5">
              <w:t>n</w:t>
            </w:r>
            <w:r>
              <w:t xml:space="preserve"> </w:t>
            </w:r>
            <w:r w:rsidR="00AB7D3B">
              <w:t>inspection</w:t>
            </w:r>
            <w:r w:rsidR="0002604C">
              <w:t xml:space="preserve"> </w:t>
            </w:r>
            <w:r w:rsidR="00AB7D3B">
              <w:t xml:space="preserve">to </w:t>
            </w:r>
            <w:r w:rsidR="00AB7D3B" w:rsidRPr="00AB7D3B">
              <w:t>conduct a development inspection required by a regulatory authority to install a home backup power installation without having to request the inspection from the authority.</w:t>
            </w:r>
            <w:r w:rsidR="00EF0EAB">
              <w:t xml:space="preserve"> </w:t>
            </w:r>
          </w:p>
          <w:p w14:paraId="78B2AA60" w14:textId="4DC9E2DE" w:rsidR="009C36CD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213250">
              <w:t xml:space="preserve"> establishes that these authorizations are </w:t>
            </w:r>
            <w:r w:rsidR="00213250" w:rsidRPr="00201F69">
              <w:t>notwithstanding</w:t>
            </w:r>
            <w:r w:rsidR="00E73E18" w:rsidRPr="00201F69">
              <w:t xml:space="preserve"> </w:t>
            </w:r>
            <w:r w:rsidR="00E60A85" w:rsidRPr="00201F69">
              <w:t>that state law</w:t>
            </w:r>
            <w:r w:rsidR="00E60A85">
              <w:t xml:space="preserve"> and</w:t>
            </w:r>
            <w:r w:rsidR="00776400">
              <w:t xml:space="preserve"> </w:t>
            </w:r>
            <w:r>
              <w:t xml:space="preserve">defines </w:t>
            </w:r>
            <w:r w:rsidRPr="00EF0EAB">
              <w:t xml:space="preserve">"home backup power installation" </w:t>
            </w:r>
            <w:r>
              <w:t>as</w:t>
            </w:r>
            <w:r w:rsidRPr="00EF0EAB">
              <w:t xml:space="preserve"> an electric generating facility, an energy storage facility</w:t>
            </w:r>
            <w:r w:rsidR="00150619">
              <w:t>, a standby system,</w:t>
            </w:r>
            <w:r w:rsidRPr="00EF0EAB">
              <w:t xml:space="preserve"> and any associated infrastructure and equipment, intended to provide electrical power to a one-</w:t>
            </w:r>
            <w:r w:rsidR="00586793">
              <w:t>family</w:t>
            </w:r>
            <w:r w:rsidRPr="00EF0EAB">
              <w:t xml:space="preserve"> or two-family dwelling</w:t>
            </w:r>
            <w:r w:rsidR="00150619">
              <w:t>, regardless of whether the facility or system is capable of participating in a wholesale electric market,</w:t>
            </w:r>
            <w:r w:rsidRPr="00EF0EAB">
              <w:t xml:space="preserve"> that is connected at 600 volts or less.</w:t>
            </w:r>
            <w:r w:rsidR="00150619">
              <w:t xml:space="preserve"> The bill establishes that </w:t>
            </w:r>
            <w:r w:rsidR="00E73E18">
              <w:t>its</w:t>
            </w:r>
            <w:r w:rsidR="00150619">
              <w:t xml:space="preserve"> provisions</w:t>
            </w:r>
            <w:r w:rsidR="00BE2D0A">
              <w:t xml:space="preserve"> </w:t>
            </w:r>
            <w:r w:rsidR="00BE2D0A" w:rsidRPr="00BE2D0A">
              <w:t>relating to third-party review or inspection for home backup power installations</w:t>
            </w:r>
            <w:r w:rsidR="00150619">
              <w:t xml:space="preserve"> do not limit the authority of</w:t>
            </w:r>
            <w:r w:rsidR="00150619" w:rsidRPr="00150619">
              <w:t xml:space="preserve"> an electric utility to implement the utility's tariff</w:t>
            </w:r>
            <w:r w:rsidR="00150619">
              <w:t xml:space="preserve"> or </w:t>
            </w:r>
            <w:r w:rsidR="00150619" w:rsidRPr="00150619">
              <w:t>an electric cooperative or a municipally owned utility to enforce interconnection and service policies</w:t>
            </w:r>
            <w:r w:rsidR="00150619">
              <w:t>.</w:t>
            </w:r>
          </w:p>
          <w:p w14:paraId="447764CE" w14:textId="07A52CB0" w:rsidR="007632A3" w:rsidRDefault="007632A3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935BDE" w14:textId="7C62E861" w:rsidR="007632A3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A6D14">
              <w:t>S.B. 1202</w:t>
            </w:r>
            <w:r>
              <w:t xml:space="preserve"> requires a regulatory authority </w:t>
            </w:r>
            <w:r w:rsidRPr="00212BA8">
              <w:t>to do the following</w:t>
            </w:r>
            <w:r>
              <w:t>:</w:t>
            </w:r>
          </w:p>
          <w:p w14:paraId="1181D139" w14:textId="362A8FC4" w:rsidR="007632A3" w:rsidRDefault="00011A92" w:rsidP="00201F6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post on the authority's website each law, rule, standard, </w:t>
            </w:r>
            <w:r w:rsidR="00150619">
              <w:t xml:space="preserve">fee schedule, </w:t>
            </w:r>
            <w:r>
              <w:t xml:space="preserve">and other document necessary for a person to review a document or conduct </w:t>
            </w:r>
            <w:r w:rsidR="00771F7E">
              <w:t xml:space="preserve">an </w:t>
            </w:r>
            <w:r>
              <w:t>inspection</w:t>
            </w:r>
            <w:r w:rsidR="0018281B">
              <w:t xml:space="preserve"> as authorized by the bill</w:t>
            </w:r>
            <w:r>
              <w:t>; or</w:t>
            </w:r>
          </w:p>
          <w:p w14:paraId="28A4255D" w14:textId="484010E7" w:rsidR="000C14FF" w:rsidRDefault="00011A92" w:rsidP="00201F6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 on request an electronic copy of </w:t>
            </w:r>
            <w:r w:rsidR="001D3E8B">
              <w:t>such</w:t>
            </w:r>
            <w:r>
              <w:t xml:space="preserve"> information not later than the second business day after the date the regulatory authority receives the request.</w:t>
            </w:r>
          </w:p>
          <w:p w14:paraId="2E8D1639" w14:textId="5CD559D0" w:rsidR="0018281B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authorizes a</w:t>
            </w:r>
            <w:r w:rsidRPr="007632A3">
              <w:t xml:space="preserve"> person who reviews a document or conducts</w:t>
            </w:r>
            <w:r w:rsidR="00771F7E">
              <w:t xml:space="preserve"> </w:t>
            </w:r>
            <w:r w:rsidRPr="007632A3">
              <w:t>a</w:t>
            </w:r>
            <w:r w:rsidR="00213250">
              <w:t xml:space="preserve"> development</w:t>
            </w:r>
            <w:r w:rsidRPr="007632A3">
              <w:t xml:space="preserve"> inspection</w:t>
            </w:r>
            <w:r w:rsidR="00F344B7">
              <w:t xml:space="preserve"> </w:t>
            </w:r>
            <w:r w:rsidR="00F344B7" w:rsidRPr="00212BA8">
              <w:t>under the bill's provisions</w:t>
            </w:r>
            <w:r>
              <w:t xml:space="preserve"> to</w:t>
            </w:r>
            <w:r w:rsidR="00150619">
              <w:t xml:space="preserve"> use software designed to automate the required review without that person performing additional manual review and</w:t>
            </w:r>
            <w:r w:rsidRPr="007632A3">
              <w:t xml:space="preserve"> </w:t>
            </w:r>
            <w:r w:rsidR="004C04CA">
              <w:t xml:space="preserve">to </w:t>
            </w:r>
            <w:r w:rsidRPr="007632A3">
              <w:t xml:space="preserve">rely on the accuracy and completeness of </w:t>
            </w:r>
            <w:r w:rsidR="001D3E8B">
              <w:t>the specified</w:t>
            </w:r>
            <w:r w:rsidRPr="007632A3">
              <w:t xml:space="preserve"> information provided by a regulatory authority</w:t>
            </w:r>
            <w:r>
              <w:t>.</w:t>
            </w:r>
            <w:r w:rsidR="000C14FF">
              <w:t xml:space="preserve"> </w:t>
            </w:r>
          </w:p>
          <w:p w14:paraId="741E2ABF" w14:textId="77777777" w:rsidR="00150619" w:rsidRDefault="00150619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F16D6A" w14:textId="114283D5" w:rsidR="00150619" w:rsidRDefault="00011A92" w:rsidP="00201F69">
            <w:pPr>
              <w:pStyle w:val="Header"/>
              <w:jc w:val="both"/>
            </w:pPr>
            <w:r>
              <w:t>C.S.S.B. 1202 authorizes a person reviewing a development document or conducting a development inspection of a home backup power installation, i</w:t>
            </w:r>
            <w:r w:rsidRPr="00150619">
              <w:t>f a regulatory authority has not posted on the authority's website or provided upon request</w:t>
            </w:r>
            <w:r>
              <w:t xml:space="preserve"> the</w:t>
            </w:r>
            <w:r w:rsidRPr="00150619">
              <w:t xml:space="preserve"> information</w:t>
            </w:r>
            <w:r>
              <w:t xml:space="preserve"> required by the bill, to use the </w:t>
            </w:r>
            <w:r w:rsidRPr="00201F69">
              <w:t xml:space="preserve">applicable building code standards </w:t>
            </w:r>
            <w:r w:rsidR="007F388A" w:rsidRPr="00201F69">
              <w:t>of the</w:t>
            </w:r>
            <w:r w:rsidR="00162D83" w:rsidRPr="00201F69">
              <w:t xml:space="preserve"> </w:t>
            </w:r>
            <w:r w:rsidR="007F388A" w:rsidRPr="00201F69">
              <w:t>I</w:t>
            </w:r>
            <w:r w:rsidR="00162D83" w:rsidRPr="00201F69">
              <w:t xml:space="preserve">nternational </w:t>
            </w:r>
            <w:r w:rsidR="007F388A" w:rsidRPr="00201F69">
              <w:t>R</w:t>
            </w:r>
            <w:r w:rsidR="00162D83" w:rsidRPr="00201F69">
              <w:t xml:space="preserve">esidential </w:t>
            </w:r>
            <w:r w:rsidR="007F388A" w:rsidRPr="00201F69">
              <w:t>C</w:t>
            </w:r>
            <w:r w:rsidR="00162D83" w:rsidRPr="00201F69">
              <w:t>ode</w:t>
            </w:r>
            <w:r w:rsidR="00A179F5">
              <w:t>, as adopted under applicable Local Government Code provisions,</w:t>
            </w:r>
            <w:r>
              <w:t xml:space="preserve"> for a dwelling located in a municipality or the applicable </w:t>
            </w:r>
            <w:r w:rsidR="007F388A">
              <w:t xml:space="preserve">residential </w:t>
            </w:r>
            <w:r>
              <w:t>building code standards</w:t>
            </w:r>
            <w:r w:rsidR="000A4610">
              <w:t xml:space="preserve"> prescribed </w:t>
            </w:r>
            <w:r w:rsidR="000A4610" w:rsidRPr="00201F69">
              <w:t>under state law</w:t>
            </w:r>
            <w:r>
              <w:t xml:space="preserve"> for a dwelling located in the unincorporated area of a county. The bill prohibits a regulatory authority that has</w:t>
            </w:r>
            <w:r>
              <w:t xml:space="preserve"> not posted or provided a fee schedule </w:t>
            </w:r>
            <w:r w:rsidR="000A4610">
              <w:t xml:space="preserve">as required by the bill </w:t>
            </w:r>
            <w:r>
              <w:t>from charging a fee for issuance of an approval, permit, or certification for a home backup power installation.</w:t>
            </w:r>
          </w:p>
          <w:p w14:paraId="54C70E32" w14:textId="77777777" w:rsidR="0018281B" w:rsidRDefault="0018281B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362A81" w14:textId="20FFF5D4" w:rsidR="007632A3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A6D14">
              <w:t>S.B. 1202</w:t>
            </w:r>
            <w:r w:rsidR="0018281B">
              <w:t xml:space="preserve"> requires a regulatory authority to </w:t>
            </w:r>
            <w:r w:rsidR="0018281B" w:rsidRPr="007632A3">
              <w:t xml:space="preserve">issue each approval, permit, or certification applicable to a review of a document or inspection </w:t>
            </w:r>
            <w:r w:rsidR="00F344B7">
              <w:t xml:space="preserve">conducted </w:t>
            </w:r>
            <w:r w:rsidR="00F344B7" w:rsidRPr="00212BA8">
              <w:t>under the bill's provisions</w:t>
            </w:r>
            <w:r w:rsidR="00F344B7">
              <w:t xml:space="preserve"> </w:t>
            </w:r>
            <w:r w:rsidR="0018281B" w:rsidRPr="007632A3">
              <w:t>not later than the second business day after the date the authority receives the notice</w:t>
            </w:r>
            <w:r w:rsidR="00F344B7">
              <w:t xml:space="preserve"> </w:t>
            </w:r>
            <w:r w:rsidR="00F344B7" w:rsidRPr="004F49EB">
              <w:t>from the reviewer or inspector</w:t>
            </w:r>
            <w:r w:rsidR="0018281B">
              <w:t xml:space="preserve"> </w:t>
            </w:r>
            <w:r w:rsidR="0018281B" w:rsidRPr="007632A3">
              <w:t>that approves the document</w:t>
            </w:r>
            <w:r w:rsidR="007F388A">
              <w:t xml:space="preserve"> or inspection</w:t>
            </w:r>
            <w:r w:rsidR="0018281B">
              <w:t xml:space="preserve">. </w:t>
            </w:r>
            <w:r w:rsidR="000C14FF">
              <w:t>The bill authorizes a</w:t>
            </w:r>
            <w:r w:rsidR="000C14FF" w:rsidRPr="00F0413A">
              <w:t xml:space="preserve"> person </w:t>
            </w:r>
            <w:r w:rsidR="000C14FF">
              <w:t>to</w:t>
            </w:r>
            <w:r w:rsidR="000C14FF" w:rsidRPr="00F0413A">
              <w:t xml:space="preserve"> begin construction of a home backup power installation on submission </w:t>
            </w:r>
            <w:r w:rsidR="000C14FF" w:rsidRPr="004F49EB">
              <w:t xml:space="preserve">of </w:t>
            </w:r>
            <w:r w:rsidR="00F344B7" w:rsidRPr="004F49EB">
              <w:t>such</w:t>
            </w:r>
            <w:r w:rsidR="000C14FF" w:rsidRPr="004F49EB">
              <w:t xml:space="preserve"> notice</w:t>
            </w:r>
            <w:r w:rsidR="007F388A">
              <w:t xml:space="preserve"> that approves the development document</w:t>
            </w:r>
            <w:r w:rsidR="000C14FF" w:rsidRPr="00F0413A">
              <w:t>.</w:t>
            </w:r>
          </w:p>
          <w:p w14:paraId="569C57DA" w14:textId="77777777" w:rsidR="00150619" w:rsidRDefault="00150619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FDC71A" w14:textId="01E83F9E" w:rsidR="00150619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1202</w:t>
            </w:r>
            <w:r w:rsidRPr="00150619">
              <w:t xml:space="preserve"> </w:t>
            </w:r>
            <w:r w:rsidR="00FE2F0B">
              <w:t xml:space="preserve">expressly </w:t>
            </w:r>
            <w:r w:rsidRPr="00150619">
              <w:t>does not limit or otherwise affect a regulatory authority's civil liability or immunity, including applicable liability under</w:t>
            </w:r>
            <w:r w:rsidR="00FE2F0B">
              <w:t xml:space="preserve"> Civil Practice and Remedies Code</w:t>
            </w:r>
            <w:r w:rsidRPr="00150619">
              <w:t xml:space="preserve"> </w:t>
            </w:r>
            <w:r w:rsidR="000D59EE">
              <w:t xml:space="preserve">provisions </w:t>
            </w:r>
            <w:r w:rsidR="007F388A">
              <w:t>establishing</w:t>
            </w:r>
            <w:r w:rsidR="000D59EE">
              <w:t xml:space="preserve"> governmental and municipal </w:t>
            </w:r>
            <w:r w:rsidR="00162D83">
              <w:t xml:space="preserve">tort </w:t>
            </w:r>
            <w:r w:rsidR="000D59EE">
              <w:t>liability</w:t>
            </w:r>
            <w:r w:rsidR="00FE2F0B">
              <w:t>,</w:t>
            </w:r>
            <w:r w:rsidR="000D59EE">
              <w:t xml:space="preserve"> </w:t>
            </w:r>
            <w:r w:rsidRPr="00150619">
              <w:t>and a regulatory authority's governmental immunity, applicable to a development document or development inspection</w:t>
            </w:r>
            <w:r w:rsidR="00FE2F0B">
              <w:t xml:space="preserve"> conducted under the bill's provisions</w:t>
            </w:r>
            <w:r w:rsidR="00162D83">
              <w:t>.</w:t>
            </w:r>
          </w:p>
          <w:p w14:paraId="3A3F6A74" w14:textId="77777777" w:rsidR="00715F6A" w:rsidRDefault="00715F6A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7786CA" w14:textId="75E927E9" w:rsidR="00715F6A" w:rsidRPr="009C36CD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A6D14">
              <w:t>S.B. 1202</w:t>
            </w:r>
            <w:r>
              <w:t xml:space="preserve"> </w:t>
            </w:r>
            <w:r w:rsidR="00AC3ED1">
              <w:t xml:space="preserve">prohibits a regulatory authority from imposing a fee related to the review of a development document or the inspection of an improvement conducted under the bill's provisions and subjects </w:t>
            </w:r>
            <w:r w:rsidR="004C6920">
              <w:t xml:space="preserve">a person who reviews </w:t>
            </w:r>
            <w:r w:rsidR="00AC3ED1">
              <w:t xml:space="preserve">such a </w:t>
            </w:r>
            <w:r w:rsidR="004C6920">
              <w:t xml:space="preserve">document </w:t>
            </w:r>
            <w:r w:rsidR="00AC3ED1">
              <w:t>or</w:t>
            </w:r>
            <w:r w:rsidR="004C6920">
              <w:t xml:space="preserve"> conducts such an</w:t>
            </w:r>
            <w:r w:rsidR="00AC3ED1">
              <w:t xml:space="preserve"> inspection </w:t>
            </w:r>
            <w:r w:rsidR="004C6920">
              <w:t xml:space="preserve">under the bill's provisions </w:t>
            </w:r>
            <w:r w:rsidR="00AC3ED1">
              <w:t>to the third-party</w:t>
            </w:r>
            <w:r w:rsidR="00776400">
              <w:t xml:space="preserve"> review or inspection</w:t>
            </w:r>
            <w:r w:rsidR="00AC3ED1">
              <w:t xml:space="preserve"> </w:t>
            </w:r>
            <w:r w:rsidR="00776400">
              <w:t>requirements ap</w:t>
            </w:r>
            <w:r w:rsidR="00AC3ED1">
              <w:t>plicable</w:t>
            </w:r>
            <w:r w:rsidR="001D3E8B">
              <w:t xml:space="preserve"> under current law</w:t>
            </w:r>
            <w:r w:rsidR="00AC3ED1">
              <w:t xml:space="preserve"> </w:t>
            </w:r>
            <w:r w:rsidR="004C6920">
              <w:t>when a</w:t>
            </w:r>
            <w:r w:rsidR="00776400">
              <w:t xml:space="preserve"> </w:t>
            </w:r>
            <w:r w:rsidR="004C6920">
              <w:t>regulatory authority does not approve</w:t>
            </w:r>
            <w:r w:rsidR="00E60A85">
              <w:t xml:space="preserve">, </w:t>
            </w:r>
            <w:r w:rsidR="004C6920">
              <w:t>conditionally appro</w:t>
            </w:r>
            <w:r w:rsidR="00E60A85">
              <w:t>v</w:t>
            </w:r>
            <w:r w:rsidR="004C6920">
              <w:t>e</w:t>
            </w:r>
            <w:r w:rsidR="00DF5183">
              <w:t>,</w:t>
            </w:r>
            <w:r w:rsidR="004C6920">
              <w:t xml:space="preserve"> or disapprove a development document</w:t>
            </w:r>
            <w:r w:rsidR="00DF5183">
              <w:t xml:space="preserve"> or conduct an inspection, as applicable</w:t>
            </w:r>
            <w:r w:rsidR="00DF5183" w:rsidRPr="00931239">
              <w:t>,</w:t>
            </w:r>
            <w:r w:rsidR="004C6920" w:rsidRPr="00931239">
              <w:t xml:space="preserve"> by the statutory </w:t>
            </w:r>
            <w:r w:rsidR="00776400" w:rsidRPr="00931239">
              <w:t>deadline.</w:t>
            </w:r>
            <w:r w:rsidR="00776400">
              <w:t xml:space="preserve"> The bill</w:t>
            </w:r>
            <w:r w:rsidR="004C6920">
              <w:t xml:space="preserve"> </w:t>
            </w:r>
            <w:r>
              <w:t xml:space="preserve">authorizes a person who reviews a </w:t>
            </w:r>
            <w:r w:rsidRPr="005F28C3">
              <w:t>development document</w:t>
            </w:r>
            <w:r>
              <w:t xml:space="preserve"> or conducts a </w:t>
            </w:r>
            <w:r w:rsidRPr="005F28C3">
              <w:t>development inspection</w:t>
            </w:r>
            <w:r>
              <w:t>,</w:t>
            </w:r>
            <w:r w:rsidR="00866763">
              <w:t xml:space="preserve"> under </w:t>
            </w:r>
            <w:r w:rsidR="005F28C3">
              <w:t xml:space="preserve">either </w:t>
            </w:r>
            <w:r w:rsidR="00866763">
              <w:t xml:space="preserve">the bill's provisions or </w:t>
            </w:r>
            <w:r w:rsidR="00E664BB">
              <w:t>current law</w:t>
            </w:r>
            <w:r>
              <w:t>, to provide notice</w:t>
            </w:r>
            <w:r w:rsidR="00866763">
              <w:t xml:space="preserve"> of the </w:t>
            </w:r>
            <w:r w:rsidR="005F28C3">
              <w:t>results of the review or inspection</w:t>
            </w:r>
            <w:r>
              <w:t xml:space="preserve"> by email to the</w:t>
            </w:r>
            <w:r w:rsidR="005F28C3">
              <w:t xml:space="preserve"> applicable</w:t>
            </w:r>
            <w:r>
              <w:t xml:space="preserve"> regulatory authority's email address</w:t>
            </w:r>
            <w:r w:rsidR="005F28C3">
              <w:t xml:space="preserve"> if the regulatory authority has not prescribed a format for such notice</w:t>
            </w:r>
            <w:r>
              <w:t>.</w:t>
            </w:r>
            <w:r w:rsidR="00150619">
              <w:t xml:space="preserve"> </w:t>
            </w:r>
            <w:r w:rsidR="00150619" w:rsidRPr="00150619">
              <w:t>The</w:t>
            </w:r>
            <w:r w:rsidR="00150619">
              <w:t xml:space="preserve"> bill prohibits</w:t>
            </w:r>
            <w:r w:rsidR="000D59EE" w:rsidRPr="000D59EE">
              <w:t xml:space="preserve"> </w:t>
            </w:r>
            <w:r w:rsidR="000D59EE">
              <w:t>the</w:t>
            </w:r>
            <w:r w:rsidR="000D59EE" w:rsidRPr="000D59EE">
              <w:t xml:space="preserve"> format prescribed by a regulatory authority</w:t>
            </w:r>
            <w:r w:rsidR="000D59EE">
              <w:t xml:space="preserve"> </w:t>
            </w:r>
            <w:r w:rsidR="00150619">
              <w:t>from limiting</w:t>
            </w:r>
            <w:r w:rsidR="00150619" w:rsidRPr="00150619">
              <w:t xml:space="preserve"> </w:t>
            </w:r>
            <w:r w:rsidR="000D59EE">
              <w:t>such a person</w:t>
            </w:r>
            <w:r w:rsidR="00150619" w:rsidRPr="00150619">
              <w:t xml:space="preserve"> from using software designed to automate the review or approval process without that person performing additional manual review.</w:t>
            </w:r>
          </w:p>
          <w:p w14:paraId="793F2BD1" w14:textId="77777777" w:rsidR="008423E4" w:rsidRPr="00835628" w:rsidRDefault="008423E4" w:rsidP="00201F69">
            <w:pPr>
              <w:rPr>
                <w:b/>
              </w:rPr>
            </w:pPr>
          </w:p>
        </w:tc>
      </w:tr>
      <w:tr w:rsidR="00D16CE6" w14:paraId="18D48F61" w14:textId="77777777" w:rsidTr="00201F69">
        <w:tc>
          <w:tcPr>
            <w:tcW w:w="9360" w:type="dxa"/>
          </w:tcPr>
          <w:p w14:paraId="797887AE" w14:textId="77777777" w:rsidR="008423E4" w:rsidRPr="00A8133F" w:rsidRDefault="00011A92" w:rsidP="00201F6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FA1101" w14:textId="77777777" w:rsidR="008423E4" w:rsidRDefault="008423E4" w:rsidP="00201F69"/>
          <w:p w14:paraId="576B1154" w14:textId="4BB3CAB1" w:rsidR="008423E4" w:rsidRPr="003624F2" w:rsidRDefault="00011A92" w:rsidP="00201F6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4184A5AC" w14:textId="77777777" w:rsidR="008423E4" w:rsidRPr="00233FDB" w:rsidRDefault="008423E4" w:rsidP="00201F69">
            <w:pPr>
              <w:rPr>
                <w:b/>
              </w:rPr>
            </w:pPr>
          </w:p>
        </w:tc>
      </w:tr>
      <w:tr w:rsidR="00D16CE6" w14:paraId="3784A60F" w14:textId="77777777" w:rsidTr="00201F69">
        <w:tc>
          <w:tcPr>
            <w:tcW w:w="9360" w:type="dxa"/>
          </w:tcPr>
          <w:p w14:paraId="526F6758" w14:textId="77777777" w:rsidR="00D7687A" w:rsidRDefault="00011A92" w:rsidP="00201F69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7D872728" w14:textId="77777777" w:rsidR="008A25A3" w:rsidRDefault="008A25A3" w:rsidP="00201F69">
            <w:pPr>
              <w:keepNext/>
              <w:jc w:val="both"/>
              <w:rPr>
                <w:b/>
                <w:u w:val="single"/>
              </w:rPr>
            </w:pPr>
          </w:p>
          <w:p w14:paraId="5AA7DC5E" w14:textId="77777777" w:rsidR="00F34E62" w:rsidRDefault="00011A92" w:rsidP="00201F69">
            <w:pPr>
              <w:keepNext/>
              <w:jc w:val="both"/>
            </w:pPr>
            <w:r>
              <w:t>While C.S.S.B. 1202 may differ from the engrossed in minor or nonsubstantive ways, the following summarizes the substantial differences between the engrossed and committee substitute versions of the bill.</w:t>
            </w:r>
          </w:p>
          <w:p w14:paraId="74BDFB4E" w14:textId="77777777" w:rsidR="00F34E62" w:rsidRDefault="00F34E62" w:rsidP="00201F69">
            <w:pPr>
              <w:jc w:val="both"/>
            </w:pPr>
          </w:p>
          <w:p w14:paraId="784CDB44" w14:textId="375ED486" w:rsidR="00F34E62" w:rsidRPr="00D7687A" w:rsidRDefault="00011A92" w:rsidP="00201F69">
            <w:pPr>
              <w:jc w:val="both"/>
              <w:rPr>
                <w:b/>
                <w:u w:val="single"/>
              </w:rPr>
            </w:pPr>
            <w:r>
              <w:t xml:space="preserve">The substitute includes a provision not in the engrossed establishing that the bill's provisions do not </w:t>
            </w:r>
            <w:r w:rsidRPr="008A25A3">
              <w:t>limit or otherwise affect a regulatory authority's civil liability or immunity, including applicable liabilit</w:t>
            </w:r>
            <w:r>
              <w:t xml:space="preserve">y under Civil Practice and Remedies Code provisions relating to governmental and municipal tort liability, </w:t>
            </w:r>
            <w:r w:rsidRPr="008A25A3">
              <w:t>and a regulatory authority's governmental immunity, applicable to a development document or development inspection</w:t>
            </w:r>
            <w:r>
              <w:t xml:space="preserve"> conducted under the bill's provisions</w:t>
            </w:r>
            <w:r w:rsidRPr="008A25A3">
              <w:t>.</w:t>
            </w:r>
          </w:p>
        </w:tc>
      </w:tr>
    </w:tbl>
    <w:p w14:paraId="2D8D3230" w14:textId="77777777" w:rsidR="008423E4" w:rsidRPr="00BE0E75" w:rsidRDefault="008423E4" w:rsidP="00201F69">
      <w:pPr>
        <w:jc w:val="both"/>
        <w:rPr>
          <w:rFonts w:ascii="Arial" w:hAnsi="Arial"/>
          <w:sz w:val="16"/>
          <w:szCs w:val="16"/>
        </w:rPr>
      </w:pPr>
    </w:p>
    <w:p w14:paraId="1CCB2CE3" w14:textId="77777777" w:rsidR="004108C3" w:rsidRPr="008423E4" w:rsidRDefault="004108C3" w:rsidP="00201F6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A857" w14:textId="77777777" w:rsidR="00011A92" w:rsidRDefault="00011A92">
      <w:r>
        <w:separator/>
      </w:r>
    </w:p>
  </w:endnote>
  <w:endnote w:type="continuationSeparator" w:id="0">
    <w:p w14:paraId="1A8DA405" w14:textId="77777777" w:rsidR="00011A92" w:rsidRDefault="0001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A19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16CE6" w14:paraId="15377BCE" w14:textId="77777777" w:rsidTr="009C1E9A">
      <w:trPr>
        <w:cantSplit/>
      </w:trPr>
      <w:tc>
        <w:tcPr>
          <w:tcW w:w="0" w:type="pct"/>
        </w:tcPr>
        <w:p w14:paraId="2357B6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0F0D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832A4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FA90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09312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6CE6" w14:paraId="06640E50" w14:textId="77777777" w:rsidTr="009C1E9A">
      <w:trPr>
        <w:cantSplit/>
      </w:trPr>
      <w:tc>
        <w:tcPr>
          <w:tcW w:w="0" w:type="pct"/>
        </w:tcPr>
        <w:p w14:paraId="0C953F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C0CE31" w14:textId="2DB1C194" w:rsidR="00EC379B" w:rsidRPr="009C1E9A" w:rsidRDefault="00011A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26604-D</w:t>
          </w:r>
        </w:p>
      </w:tc>
      <w:tc>
        <w:tcPr>
          <w:tcW w:w="2453" w:type="pct"/>
        </w:tcPr>
        <w:p w14:paraId="03B308C5" w14:textId="7C2FABD6" w:rsidR="00EC379B" w:rsidRDefault="00011A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50881">
            <w:t>25.119.1794</w:t>
          </w:r>
          <w:r>
            <w:fldChar w:fldCharType="end"/>
          </w:r>
        </w:p>
      </w:tc>
    </w:tr>
    <w:tr w:rsidR="00D16CE6" w14:paraId="5CF50951" w14:textId="77777777" w:rsidTr="009C1E9A">
      <w:trPr>
        <w:cantSplit/>
      </w:trPr>
      <w:tc>
        <w:tcPr>
          <w:tcW w:w="0" w:type="pct"/>
        </w:tcPr>
        <w:p w14:paraId="4785D5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4934D8" w14:textId="729B3CB5" w:rsidR="00EC379B" w:rsidRPr="009C1E9A" w:rsidRDefault="00011A9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22454</w:t>
          </w:r>
        </w:p>
      </w:tc>
      <w:tc>
        <w:tcPr>
          <w:tcW w:w="2453" w:type="pct"/>
        </w:tcPr>
        <w:p w14:paraId="377D26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2C63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16CE6" w14:paraId="034119A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735F7D" w14:textId="77777777" w:rsidR="00EC379B" w:rsidRDefault="00011A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82309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80D60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056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8B01" w14:textId="77777777" w:rsidR="00011A92" w:rsidRDefault="00011A92">
      <w:r>
        <w:separator/>
      </w:r>
    </w:p>
  </w:footnote>
  <w:footnote w:type="continuationSeparator" w:id="0">
    <w:p w14:paraId="65FB160C" w14:textId="77777777" w:rsidR="00011A92" w:rsidRDefault="0001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875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9F0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27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715E8"/>
    <w:multiLevelType w:val="hybridMultilevel"/>
    <w:tmpl w:val="4328B0B4"/>
    <w:lvl w:ilvl="0" w:tplc="BCC44D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B2040E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1B8D07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886EE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11EE14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130443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34C01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86B8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1FCBDB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8F109E"/>
    <w:multiLevelType w:val="hybridMultilevel"/>
    <w:tmpl w:val="692AD02A"/>
    <w:lvl w:ilvl="0" w:tplc="B69C300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292B2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0FE18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B266AD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73C1A4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A3052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B147F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201C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9E488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26895"/>
    <w:multiLevelType w:val="hybridMultilevel"/>
    <w:tmpl w:val="F3A6B826"/>
    <w:lvl w:ilvl="0" w:tplc="9F644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CE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E1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67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AC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C7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8D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8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65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8407">
    <w:abstractNumId w:val="2"/>
  </w:num>
  <w:num w:numId="2" w16cid:durableId="649141106">
    <w:abstractNumId w:val="0"/>
  </w:num>
  <w:num w:numId="3" w16cid:durableId="152266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CB"/>
    <w:rsid w:val="00000A70"/>
    <w:rsid w:val="000032B8"/>
    <w:rsid w:val="00003B06"/>
    <w:rsid w:val="000054B9"/>
    <w:rsid w:val="00007461"/>
    <w:rsid w:val="0001117E"/>
    <w:rsid w:val="0001125F"/>
    <w:rsid w:val="00011A92"/>
    <w:rsid w:val="0001301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04C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0AC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D53"/>
    <w:rsid w:val="000A461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4FF"/>
    <w:rsid w:val="000C49DA"/>
    <w:rsid w:val="000C4B3D"/>
    <w:rsid w:val="000C6DC1"/>
    <w:rsid w:val="000C6E20"/>
    <w:rsid w:val="000C76D7"/>
    <w:rsid w:val="000C7F1D"/>
    <w:rsid w:val="000D2E0B"/>
    <w:rsid w:val="000D2EBA"/>
    <w:rsid w:val="000D32A1"/>
    <w:rsid w:val="000D3725"/>
    <w:rsid w:val="000D46E5"/>
    <w:rsid w:val="000D53A0"/>
    <w:rsid w:val="000D59EE"/>
    <w:rsid w:val="000D769C"/>
    <w:rsid w:val="000E1162"/>
    <w:rsid w:val="000E1976"/>
    <w:rsid w:val="000E20F1"/>
    <w:rsid w:val="000E28B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A60"/>
    <w:rsid w:val="0010796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619"/>
    <w:rsid w:val="0015331F"/>
    <w:rsid w:val="001539BE"/>
    <w:rsid w:val="001561E6"/>
    <w:rsid w:val="00156AB2"/>
    <w:rsid w:val="00160402"/>
    <w:rsid w:val="00160571"/>
    <w:rsid w:val="00161E93"/>
    <w:rsid w:val="00162C7A"/>
    <w:rsid w:val="00162D83"/>
    <w:rsid w:val="00162DAE"/>
    <w:rsid w:val="001639C5"/>
    <w:rsid w:val="00163E45"/>
    <w:rsid w:val="001664C2"/>
    <w:rsid w:val="001671D2"/>
    <w:rsid w:val="00171BF2"/>
    <w:rsid w:val="00172E73"/>
    <w:rsid w:val="0017347B"/>
    <w:rsid w:val="0017725B"/>
    <w:rsid w:val="0018050C"/>
    <w:rsid w:val="0018117F"/>
    <w:rsid w:val="001824ED"/>
    <w:rsid w:val="0018281B"/>
    <w:rsid w:val="00183262"/>
    <w:rsid w:val="0018478F"/>
    <w:rsid w:val="00184B03"/>
    <w:rsid w:val="00185C59"/>
    <w:rsid w:val="00187C1B"/>
    <w:rsid w:val="001908AC"/>
    <w:rsid w:val="00190CFB"/>
    <w:rsid w:val="00191391"/>
    <w:rsid w:val="0019457A"/>
    <w:rsid w:val="00195257"/>
    <w:rsid w:val="00195388"/>
    <w:rsid w:val="0019539E"/>
    <w:rsid w:val="001968BC"/>
    <w:rsid w:val="001A0739"/>
    <w:rsid w:val="001A07B7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25A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E8B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A41"/>
    <w:rsid w:val="00201A5E"/>
    <w:rsid w:val="00201F69"/>
    <w:rsid w:val="0020775D"/>
    <w:rsid w:val="002116DD"/>
    <w:rsid w:val="00212BA8"/>
    <w:rsid w:val="00213250"/>
    <w:rsid w:val="0021383D"/>
    <w:rsid w:val="00216BBA"/>
    <w:rsid w:val="00216E12"/>
    <w:rsid w:val="00217466"/>
    <w:rsid w:val="0021751D"/>
    <w:rsid w:val="00217C49"/>
    <w:rsid w:val="0022177D"/>
    <w:rsid w:val="00222432"/>
    <w:rsid w:val="002242DA"/>
    <w:rsid w:val="002245B7"/>
    <w:rsid w:val="00224C37"/>
    <w:rsid w:val="00226ECC"/>
    <w:rsid w:val="002304C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891"/>
    <w:rsid w:val="00296FF0"/>
    <w:rsid w:val="002A1592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B5B"/>
    <w:rsid w:val="0031741B"/>
    <w:rsid w:val="00321337"/>
    <w:rsid w:val="00321F2F"/>
    <w:rsid w:val="003237F6"/>
    <w:rsid w:val="00324077"/>
    <w:rsid w:val="0032453B"/>
    <w:rsid w:val="00324868"/>
    <w:rsid w:val="00325FC0"/>
    <w:rsid w:val="0032751F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5F3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D68"/>
    <w:rsid w:val="00370155"/>
    <w:rsid w:val="003712D5"/>
    <w:rsid w:val="003743AB"/>
    <w:rsid w:val="003747DF"/>
    <w:rsid w:val="00377E3D"/>
    <w:rsid w:val="00382C45"/>
    <w:rsid w:val="003847E8"/>
    <w:rsid w:val="0038731D"/>
    <w:rsid w:val="00387519"/>
    <w:rsid w:val="00387B60"/>
    <w:rsid w:val="00390098"/>
    <w:rsid w:val="00392DA1"/>
    <w:rsid w:val="00393718"/>
    <w:rsid w:val="003A0296"/>
    <w:rsid w:val="003A10BC"/>
    <w:rsid w:val="003A3420"/>
    <w:rsid w:val="003A6D1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4F8"/>
    <w:rsid w:val="003F77F8"/>
    <w:rsid w:val="00400ACD"/>
    <w:rsid w:val="00403B15"/>
    <w:rsid w:val="00403E8A"/>
    <w:rsid w:val="004101E4"/>
    <w:rsid w:val="00410661"/>
    <w:rsid w:val="004108C3"/>
    <w:rsid w:val="00410B33"/>
    <w:rsid w:val="00411578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4AD"/>
    <w:rsid w:val="00441016"/>
    <w:rsid w:val="00441F2F"/>
    <w:rsid w:val="0044228B"/>
    <w:rsid w:val="004423E0"/>
    <w:rsid w:val="00447018"/>
    <w:rsid w:val="00450541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60B"/>
    <w:rsid w:val="0049682B"/>
    <w:rsid w:val="004977A3"/>
    <w:rsid w:val="004A03F7"/>
    <w:rsid w:val="004A081C"/>
    <w:rsid w:val="004A123F"/>
    <w:rsid w:val="004A2172"/>
    <w:rsid w:val="004A239F"/>
    <w:rsid w:val="004A730C"/>
    <w:rsid w:val="004B138F"/>
    <w:rsid w:val="004B329E"/>
    <w:rsid w:val="004B412A"/>
    <w:rsid w:val="004B576C"/>
    <w:rsid w:val="004B772A"/>
    <w:rsid w:val="004C04CA"/>
    <w:rsid w:val="004C302F"/>
    <w:rsid w:val="004C4609"/>
    <w:rsid w:val="004C4B8A"/>
    <w:rsid w:val="004C52EF"/>
    <w:rsid w:val="004C5F34"/>
    <w:rsid w:val="004C600C"/>
    <w:rsid w:val="004C6920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9EB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FCC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793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028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8C3"/>
    <w:rsid w:val="005F34D4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58C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96A"/>
    <w:rsid w:val="006B54C5"/>
    <w:rsid w:val="006B5E80"/>
    <w:rsid w:val="006B7A2E"/>
    <w:rsid w:val="006C1BDF"/>
    <w:rsid w:val="006C4709"/>
    <w:rsid w:val="006D3005"/>
    <w:rsid w:val="006D504F"/>
    <w:rsid w:val="006D57E1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ABB"/>
    <w:rsid w:val="00712DDA"/>
    <w:rsid w:val="00714372"/>
    <w:rsid w:val="00715F6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2A3"/>
    <w:rsid w:val="007632C3"/>
    <w:rsid w:val="00764786"/>
    <w:rsid w:val="00766E12"/>
    <w:rsid w:val="0077098E"/>
    <w:rsid w:val="00771287"/>
    <w:rsid w:val="0077149E"/>
    <w:rsid w:val="00771F7E"/>
    <w:rsid w:val="00776400"/>
    <w:rsid w:val="00777518"/>
    <w:rsid w:val="0077779E"/>
    <w:rsid w:val="00780FB6"/>
    <w:rsid w:val="00784739"/>
    <w:rsid w:val="0078552A"/>
    <w:rsid w:val="00785729"/>
    <w:rsid w:val="00786058"/>
    <w:rsid w:val="0079487D"/>
    <w:rsid w:val="007966D4"/>
    <w:rsid w:val="00796A0A"/>
    <w:rsid w:val="0079792C"/>
    <w:rsid w:val="007A05BE"/>
    <w:rsid w:val="007A0989"/>
    <w:rsid w:val="007A331F"/>
    <w:rsid w:val="007A3844"/>
    <w:rsid w:val="007A4381"/>
    <w:rsid w:val="007A5466"/>
    <w:rsid w:val="007A7EC1"/>
    <w:rsid w:val="007B4FCA"/>
    <w:rsid w:val="007B51F6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3A7"/>
    <w:rsid w:val="007F29F2"/>
    <w:rsid w:val="007F3861"/>
    <w:rsid w:val="007F388A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587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609"/>
    <w:rsid w:val="0084176D"/>
    <w:rsid w:val="008423E4"/>
    <w:rsid w:val="00842900"/>
    <w:rsid w:val="00850881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609"/>
    <w:rsid w:val="0086477C"/>
    <w:rsid w:val="00864BAD"/>
    <w:rsid w:val="00866763"/>
    <w:rsid w:val="00866F9D"/>
    <w:rsid w:val="008673D9"/>
    <w:rsid w:val="00871775"/>
    <w:rsid w:val="00871AEF"/>
    <w:rsid w:val="008726E5"/>
    <w:rsid w:val="0087289E"/>
    <w:rsid w:val="00874C05"/>
    <w:rsid w:val="00875515"/>
    <w:rsid w:val="0087588B"/>
    <w:rsid w:val="0087680A"/>
    <w:rsid w:val="008806EB"/>
    <w:rsid w:val="008826F2"/>
    <w:rsid w:val="008845BA"/>
    <w:rsid w:val="00884859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5A3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078"/>
    <w:rsid w:val="008C6475"/>
    <w:rsid w:val="008D27A5"/>
    <w:rsid w:val="008D2AAB"/>
    <w:rsid w:val="008D309C"/>
    <w:rsid w:val="008D4979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DF1"/>
    <w:rsid w:val="00931239"/>
    <w:rsid w:val="009320D2"/>
    <w:rsid w:val="009329FB"/>
    <w:rsid w:val="00932C77"/>
    <w:rsid w:val="00933FA7"/>
    <w:rsid w:val="0093417F"/>
    <w:rsid w:val="00934AC2"/>
    <w:rsid w:val="009375BB"/>
    <w:rsid w:val="0094011E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55D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3CB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9F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4F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2DF1"/>
    <w:rsid w:val="00A837A8"/>
    <w:rsid w:val="00A83C36"/>
    <w:rsid w:val="00A8447A"/>
    <w:rsid w:val="00A8610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37F"/>
    <w:rsid w:val="00AB5CCC"/>
    <w:rsid w:val="00AB74E2"/>
    <w:rsid w:val="00AB7D3B"/>
    <w:rsid w:val="00AC2E9A"/>
    <w:rsid w:val="00AC3ED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56673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4CB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C4B"/>
    <w:rsid w:val="00BD4E55"/>
    <w:rsid w:val="00BD513B"/>
    <w:rsid w:val="00BD5E52"/>
    <w:rsid w:val="00BE00CD"/>
    <w:rsid w:val="00BE0E75"/>
    <w:rsid w:val="00BE1789"/>
    <w:rsid w:val="00BE2D0A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80"/>
    <w:rsid w:val="00C615D4"/>
    <w:rsid w:val="00C61B5D"/>
    <w:rsid w:val="00C61C0E"/>
    <w:rsid w:val="00C61C64"/>
    <w:rsid w:val="00C61CDA"/>
    <w:rsid w:val="00C62A73"/>
    <w:rsid w:val="00C72956"/>
    <w:rsid w:val="00C73045"/>
    <w:rsid w:val="00C73212"/>
    <w:rsid w:val="00C73492"/>
    <w:rsid w:val="00C7354A"/>
    <w:rsid w:val="00C74379"/>
    <w:rsid w:val="00C74DD8"/>
    <w:rsid w:val="00C75C5E"/>
    <w:rsid w:val="00C7669F"/>
    <w:rsid w:val="00C76DFF"/>
    <w:rsid w:val="00C80B8F"/>
    <w:rsid w:val="00C82743"/>
    <w:rsid w:val="00C82D2E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373"/>
    <w:rsid w:val="00D11B0B"/>
    <w:rsid w:val="00D12A3E"/>
    <w:rsid w:val="00D16CE6"/>
    <w:rsid w:val="00D22160"/>
    <w:rsid w:val="00D22172"/>
    <w:rsid w:val="00D2301B"/>
    <w:rsid w:val="00D239EE"/>
    <w:rsid w:val="00D30534"/>
    <w:rsid w:val="00D322FB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34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1E9"/>
    <w:rsid w:val="00D700B1"/>
    <w:rsid w:val="00D730FA"/>
    <w:rsid w:val="00D76631"/>
    <w:rsid w:val="00D7687A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836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05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3E0"/>
    <w:rsid w:val="00DD5BCC"/>
    <w:rsid w:val="00DD7509"/>
    <w:rsid w:val="00DD7764"/>
    <w:rsid w:val="00DD79C7"/>
    <w:rsid w:val="00DD7D6E"/>
    <w:rsid w:val="00DE34B2"/>
    <w:rsid w:val="00DE49DE"/>
    <w:rsid w:val="00DE618B"/>
    <w:rsid w:val="00DE6EC2"/>
    <w:rsid w:val="00DF07EA"/>
    <w:rsid w:val="00DF0834"/>
    <w:rsid w:val="00DF0873"/>
    <w:rsid w:val="00DF2707"/>
    <w:rsid w:val="00DF4D90"/>
    <w:rsid w:val="00DF5183"/>
    <w:rsid w:val="00DF5C8F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EDA"/>
    <w:rsid w:val="00E55DA0"/>
    <w:rsid w:val="00E56033"/>
    <w:rsid w:val="00E60A85"/>
    <w:rsid w:val="00E61159"/>
    <w:rsid w:val="00E625DA"/>
    <w:rsid w:val="00E62E47"/>
    <w:rsid w:val="00E63495"/>
    <w:rsid w:val="00E634DC"/>
    <w:rsid w:val="00E644FF"/>
    <w:rsid w:val="00E664BB"/>
    <w:rsid w:val="00E667F3"/>
    <w:rsid w:val="00E67794"/>
    <w:rsid w:val="00E70CC6"/>
    <w:rsid w:val="00E71254"/>
    <w:rsid w:val="00E73CCD"/>
    <w:rsid w:val="00E73E18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C76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F92"/>
    <w:rsid w:val="00EC5E1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EA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3A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CEA"/>
    <w:rsid w:val="00F25C26"/>
    <w:rsid w:val="00F25CC2"/>
    <w:rsid w:val="00F27573"/>
    <w:rsid w:val="00F307B6"/>
    <w:rsid w:val="00F30EB8"/>
    <w:rsid w:val="00F31876"/>
    <w:rsid w:val="00F31C67"/>
    <w:rsid w:val="00F33081"/>
    <w:rsid w:val="00F344B7"/>
    <w:rsid w:val="00F34E6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13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6104"/>
    <w:rsid w:val="00F86F96"/>
    <w:rsid w:val="00F96602"/>
    <w:rsid w:val="00F9735A"/>
    <w:rsid w:val="00F97E6D"/>
    <w:rsid w:val="00FA32FC"/>
    <w:rsid w:val="00FA467F"/>
    <w:rsid w:val="00FA59FD"/>
    <w:rsid w:val="00FA5D8C"/>
    <w:rsid w:val="00FA6403"/>
    <w:rsid w:val="00FB11C1"/>
    <w:rsid w:val="00FB16CD"/>
    <w:rsid w:val="00FB681B"/>
    <w:rsid w:val="00FB73AE"/>
    <w:rsid w:val="00FC5388"/>
    <w:rsid w:val="00FC726C"/>
    <w:rsid w:val="00FD1B4B"/>
    <w:rsid w:val="00FD1B94"/>
    <w:rsid w:val="00FE19C5"/>
    <w:rsid w:val="00FE2F0B"/>
    <w:rsid w:val="00FE4286"/>
    <w:rsid w:val="00FE48C3"/>
    <w:rsid w:val="00FE5841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D3C30C-0E43-4B97-B84D-E4375E0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B7D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7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7D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D3B"/>
    <w:rPr>
      <w:b/>
      <w:bCs/>
    </w:rPr>
  </w:style>
  <w:style w:type="paragraph" w:styleId="Revision">
    <w:name w:val="Revision"/>
    <w:hidden/>
    <w:uiPriority w:val="99"/>
    <w:semiHidden/>
    <w:rsid w:val="00E644FF"/>
    <w:rPr>
      <w:sz w:val="24"/>
      <w:szCs w:val="24"/>
    </w:rPr>
  </w:style>
  <w:style w:type="character" w:styleId="Hyperlink">
    <w:name w:val="Hyperlink"/>
    <w:basedOn w:val="DefaultParagraphFont"/>
    <w:unhideWhenUsed/>
    <w:rsid w:val="007B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6429</Characters>
  <Application>Microsoft Office Word</Application>
  <DocSecurity>0</DocSecurity>
  <Lines>122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SB01202 (Committee Report (Substituted))</vt:lpstr>
    </vt:vector>
  </TitlesOfParts>
  <Company>State of Texas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26604</dc:subject>
  <dc:creator>State of Texas</dc:creator>
  <dc:description>SB 1202 by King-(H)Land &amp; Resource Management (Substitute Document Number: 89R 22454)</dc:description>
  <cp:lastModifiedBy>Damian Duarte</cp:lastModifiedBy>
  <cp:revision>2</cp:revision>
  <cp:lastPrinted>2003-11-26T17:21:00Z</cp:lastPrinted>
  <dcterms:created xsi:type="dcterms:W3CDTF">2025-04-30T13:57:00Z</dcterms:created>
  <dcterms:modified xsi:type="dcterms:W3CDTF">2025-04-30T13:57:00Z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25.119.1794</vt:lpwstr>
  </property>
</Properties>
</file>