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76D4" w:rsidRDefault="00D176D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E6FEDBEA4034E3F83054D725BD1767B"/>
          </w:placeholder>
        </w:sdtPr>
        <w:sdtContent>
          <w:r w:rsidRPr="005C2A78">
            <w:rPr>
              <w:rFonts w:cs="Times New Roman"/>
              <w:b/>
              <w:szCs w:val="24"/>
              <w:u w:val="single"/>
            </w:rPr>
            <w:t>BILL ANALYSIS</w:t>
          </w:r>
        </w:sdtContent>
      </w:sdt>
    </w:p>
    <w:p w:rsidR="00D176D4" w:rsidRPr="00585C31" w:rsidRDefault="00D176D4" w:rsidP="000F1DF9">
      <w:pPr>
        <w:spacing w:after="0" w:line="240" w:lineRule="auto"/>
        <w:rPr>
          <w:rFonts w:cs="Times New Roman"/>
          <w:szCs w:val="24"/>
        </w:rPr>
      </w:pPr>
    </w:p>
    <w:p w:rsidR="00D176D4" w:rsidRPr="00585C31" w:rsidRDefault="00D176D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176D4" w:rsidTr="000F1DF9">
        <w:tc>
          <w:tcPr>
            <w:tcW w:w="2718" w:type="dxa"/>
          </w:tcPr>
          <w:p w:rsidR="00D176D4" w:rsidRPr="005C2A78" w:rsidRDefault="00D176D4" w:rsidP="006D756B">
            <w:pPr>
              <w:rPr>
                <w:rFonts w:cs="Times New Roman"/>
                <w:szCs w:val="24"/>
              </w:rPr>
            </w:pPr>
            <w:sdt>
              <w:sdtPr>
                <w:rPr>
                  <w:rFonts w:cs="Times New Roman"/>
                  <w:szCs w:val="24"/>
                </w:rPr>
                <w:alias w:val="Agency Title"/>
                <w:tag w:val="AgencyTitleContentControl"/>
                <w:id w:val="1920747753"/>
                <w:lock w:val="sdtContentLocked"/>
                <w:placeholder>
                  <w:docPart w:val="6886261FE2104A1EA840B009D7452D6C"/>
                </w:placeholder>
              </w:sdtPr>
              <w:sdtEndPr>
                <w:rPr>
                  <w:rFonts w:cstheme="minorBidi"/>
                  <w:szCs w:val="22"/>
                </w:rPr>
              </w:sdtEndPr>
              <w:sdtContent>
                <w:r>
                  <w:rPr>
                    <w:rFonts w:cs="Times New Roman"/>
                    <w:szCs w:val="24"/>
                  </w:rPr>
                  <w:t>Senate Research Center</w:t>
                </w:r>
              </w:sdtContent>
            </w:sdt>
          </w:p>
        </w:tc>
        <w:tc>
          <w:tcPr>
            <w:tcW w:w="6858" w:type="dxa"/>
          </w:tcPr>
          <w:p w:rsidR="00D176D4" w:rsidRPr="00FF6471" w:rsidRDefault="00D176D4" w:rsidP="000F1DF9">
            <w:pPr>
              <w:jc w:val="right"/>
              <w:rPr>
                <w:rFonts w:cs="Times New Roman"/>
                <w:szCs w:val="24"/>
              </w:rPr>
            </w:pPr>
            <w:sdt>
              <w:sdtPr>
                <w:rPr>
                  <w:rFonts w:cs="Times New Roman"/>
                  <w:szCs w:val="24"/>
                </w:rPr>
                <w:alias w:val="Bill Number"/>
                <w:tag w:val="BillNumberOne"/>
                <w:id w:val="-410784069"/>
                <w:lock w:val="sdtContentLocked"/>
                <w:placeholder>
                  <w:docPart w:val="0DB6877DEF9D42528F6C2A4E0B721862"/>
                </w:placeholder>
              </w:sdtPr>
              <w:sdtContent>
                <w:r>
                  <w:rPr>
                    <w:rFonts w:cs="Times New Roman"/>
                    <w:szCs w:val="24"/>
                  </w:rPr>
                  <w:t>S.B. 1335</w:t>
                </w:r>
              </w:sdtContent>
            </w:sdt>
          </w:p>
        </w:tc>
      </w:tr>
      <w:tr w:rsidR="00D176D4" w:rsidTr="000F1DF9">
        <w:tc>
          <w:tcPr>
            <w:tcW w:w="2718" w:type="dxa"/>
          </w:tcPr>
          <w:p w:rsidR="00D176D4" w:rsidRPr="000F1DF9" w:rsidRDefault="00D176D4" w:rsidP="00C65088">
            <w:pPr>
              <w:rPr>
                <w:rFonts w:cs="Times New Roman"/>
                <w:szCs w:val="24"/>
              </w:rPr>
            </w:pPr>
            <w:sdt>
              <w:sdtPr>
                <w:rPr>
                  <w:rFonts w:cs="Times New Roman"/>
                  <w:szCs w:val="24"/>
                </w:rPr>
                <w:alias w:val="TLCNumber"/>
                <w:tag w:val="TLCNumber"/>
                <w:id w:val="-542600604"/>
                <w:lock w:val="sdtLocked"/>
                <w:placeholder>
                  <w:docPart w:val="263F6587E84446869C8E9C9643A221C5"/>
                </w:placeholder>
                <w:showingPlcHdr/>
              </w:sdtPr>
              <w:sdtContent/>
            </w:sdt>
          </w:p>
        </w:tc>
        <w:tc>
          <w:tcPr>
            <w:tcW w:w="6858" w:type="dxa"/>
          </w:tcPr>
          <w:p w:rsidR="00D176D4" w:rsidRPr="005C2A78" w:rsidRDefault="00D176D4" w:rsidP="00073EDD">
            <w:pPr>
              <w:jc w:val="right"/>
              <w:rPr>
                <w:rFonts w:cs="Times New Roman"/>
                <w:szCs w:val="24"/>
              </w:rPr>
            </w:pPr>
            <w:sdt>
              <w:sdtPr>
                <w:rPr>
                  <w:rFonts w:cs="Times New Roman"/>
                  <w:szCs w:val="24"/>
                </w:rPr>
                <w:alias w:val="Author Label"/>
                <w:tag w:val="By"/>
                <w:id w:val="72399597"/>
                <w:lock w:val="sdtLocked"/>
                <w:placeholder>
                  <w:docPart w:val="4B45AA8A5BDA402AA21F4B0B7EB4F39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82C217ACE94403B80E912088740C2F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221ADACC14B2434C991DB7BAF3A0AF01"/>
                </w:placeholder>
                <w:showingPlcHdr/>
              </w:sdtPr>
              <w:sdtContent/>
            </w:sdt>
            <w:sdt>
              <w:sdtPr>
                <w:rPr>
                  <w:rFonts w:cs="Times New Roman"/>
                  <w:szCs w:val="24"/>
                </w:rPr>
                <w:alias w:val="DualSponsor"/>
                <w:tag w:val="DualSponsor"/>
                <w:id w:val="1029379812"/>
                <w:lock w:val="sdtContentLocked"/>
                <w:placeholder>
                  <w:docPart w:val="BFA6E0718A4048168F23BBCBA5DD11B8"/>
                </w:placeholder>
                <w:showingPlcHdr/>
              </w:sdtPr>
              <w:sdtContent/>
            </w:sdt>
          </w:p>
        </w:tc>
      </w:tr>
      <w:tr w:rsidR="00D176D4" w:rsidTr="000F1DF9">
        <w:tc>
          <w:tcPr>
            <w:tcW w:w="2718" w:type="dxa"/>
          </w:tcPr>
          <w:p w:rsidR="00D176D4" w:rsidRPr="00BC7495" w:rsidRDefault="00D176D4" w:rsidP="000F1DF9">
            <w:pPr>
              <w:rPr>
                <w:rFonts w:cs="Times New Roman"/>
                <w:szCs w:val="24"/>
              </w:rPr>
            </w:pPr>
          </w:p>
        </w:tc>
        <w:sdt>
          <w:sdtPr>
            <w:rPr>
              <w:rFonts w:cs="Times New Roman"/>
              <w:szCs w:val="24"/>
            </w:rPr>
            <w:alias w:val="Committee"/>
            <w:tag w:val="Committee"/>
            <w:id w:val="1914272295"/>
            <w:lock w:val="sdtContentLocked"/>
            <w:placeholder>
              <w:docPart w:val="96B1FA6C855F4F0082EFBE88E0F3C9D4"/>
            </w:placeholder>
          </w:sdtPr>
          <w:sdtContent>
            <w:tc>
              <w:tcPr>
                <w:tcW w:w="6858" w:type="dxa"/>
              </w:tcPr>
              <w:p w:rsidR="00D176D4" w:rsidRPr="00FF6471" w:rsidRDefault="00D176D4" w:rsidP="000F1DF9">
                <w:pPr>
                  <w:jc w:val="right"/>
                  <w:rPr>
                    <w:rFonts w:cs="Times New Roman"/>
                    <w:szCs w:val="24"/>
                  </w:rPr>
                </w:pPr>
                <w:r>
                  <w:rPr>
                    <w:rFonts w:cs="Times New Roman"/>
                    <w:szCs w:val="24"/>
                  </w:rPr>
                  <w:t>Jurisprudence</w:t>
                </w:r>
              </w:p>
            </w:tc>
          </w:sdtContent>
        </w:sdt>
      </w:tr>
      <w:tr w:rsidR="00D176D4" w:rsidTr="000F1DF9">
        <w:tc>
          <w:tcPr>
            <w:tcW w:w="2718" w:type="dxa"/>
          </w:tcPr>
          <w:p w:rsidR="00D176D4" w:rsidRPr="00BC7495" w:rsidRDefault="00D176D4" w:rsidP="000F1DF9">
            <w:pPr>
              <w:rPr>
                <w:rFonts w:cs="Times New Roman"/>
                <w:szCs w:val="24"/>
              </w:rPr>
            </w:pPr>
          </w:p>
        </w:tc>
        <w:sdt>
          <w:sdtPr>
            <w:rPr>
              <w:rFonts w:cs="Times New Roman"/>
              <w:szCs w:val="24"/>
            </w:rPr>
            <w:alias w:val="Date"/>
            <w:tag w:val="DateContentControl"/>
            <w:id w:val="1178081906"/>
            <w:lock w:val="sdtLocked"/>
            <w:placeholder>
              <w:docPart w:val="A8945C73366E4A0EAE4B85FA31612564"/>
            </w:placeholder>
            <w:date w:fullDate="2025-06-10T00:00:00Z">
              <w:dateFormat w:val="M/d/yyyy"/>
              <w:lid w:val="en-US"/>
              <w:storeMappedDataAs w:val="dateTime"/>
              <w:calendar w:val="gregorian"/>
            </w:date>
          </w:sdtPr>
          <w:sdtContent>
            <w:tc>
              <w:tcPr>
                <w:tcW w:w="6858" w:type="dxa"/>
              </w:tcPr>
              <w:p w:rsidR="00D176D4" w:rsidRPr="00FF6471" w:rsidRDefault="00D176D4" w:rsidP="000F1DF9">
                <w:pPr>
                  <w:jc w:val="right"/>
                  <w:rPr>
                    <w:rFonts w:cs="Times New Roman"/>
                    <w:szCs w:val="24"/>
                  </w:rPr>
                </w:pPr>
                <w:r>
                  <w:rPr>
                    <w:rFonts w:cs="Times New Roman"/>
                    <w:szCs w:val="24"/>
                  </w:rPr>
                  <w:t>6/10/2025</w:t>
                </w:r>
              </w:p>
            </w:tc>
          </w:sdtContent>
        </w:sdt>
      </w:tr>
      <w:tr w:rsidR="00D176D4" w:rsidTr="000F1DF9">
        <w:tc>
          <w:tcPr>
            <w:tcW w:w="2718" w:type="dxa"/>
          </w:tcPr>
          <w:p w:rsidR="00D176D4" w:rsidRPr="00BC7495" w:rsidRDefault="00D176D4" w:rsidP="000F1DF9">
            <w:pPr>
              <w:rPr>
                <w:rFonts w:cs="Times New Roman"/>
                <w:szCs w:val="24"/>
              </w:rPr>
            </w:pPr>
          </w:p>
        </w:tc>
        <w:sdt>
          <w:sdtPr>
            <w:rPr>
              <w:rFonts w:cs="Times New Roman"/>
              <w:szCs w:val="24"/>
            </w:rPr>
            <w:alias w:val="BA Version"/>
            <w:tag w:val="BAVersion"/>
            <w:id w:val="-1685590809"/>
            <w:lock w:val="sdtContentLocked"/>
            <w:placeholder>
              <w:docPart w:val="F9306EFF546F4B028BD39278B2BD6B87"/>
            </w:placeholder>
          </w:sdtPr>
          <w:sdtContent>
            <w:tc>
              <w:tcPr>
                <w:tcW w:w="6858" w:type="dxa"/>
              </w:tcPr>
              <w:p w:rsidR="00D176D4" w:rsidRPr="00FF6471" w:rsidRDefault="00D176D4" w:rsidP="000F1DF9">
                <w:pPr>
                  <w:jc w:val="right"/>
                  <w:rPr>
                    <w:rFonts w:cs="Times New Roman"/>
                    <w:szCs w:val="24"/>
                  </w:rPr>
                </w:pPr>
                <w:r>
                  <w:rPr>
                    <w:rFonts w:cs="Times New Roman"/>
                    <w:szCs w:val="24"/>
                  </w:rPr>
                  <w:t>Enrolled</w:t>
                </w:r>
              </w:p>
            </w:tc>
          </w:sdtContent>
        </w:sdt>
      </w:tr>
    </w:tbl>
    <w:p w:rsidR="00D176D4" w:rsidRPr="00FF6471" w:rsidRDefault="00D176D4" w:rsidP="000F1DF9">
      <w:pPr>
        <w:spacing w:after="0" w:line="240" w:lineRule="auto"/>
        <w:rPr>
          <w:rFonts w:cs="Times New Roman"/>
          <w:szCs w:val="24"/>
        </w:rPr>
      </w:pPr>
    </w:p>
    <w:p w:rsidR="00D176D4" w:rsidRPr="00FF6471" w:rsidRDefault="00D176D4" w:rsidP="000F1DF9">
      <w:pPr>
        <w:spacing w:after="0" w:line="240" w:lineRule="auto"/>
        <w:rPr>
          <w:rFonts w:cs="Times New Roman"/>
          <w:szCs w:val="24"/>
        </w:rPr>
      </w:pPr>
    </w:p>
    <w:p w:rsidR="00D176D4" w:rsidRPr="00FF6471" w:rsidRDefault="00D176D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D2B6D9E0A644A02AD050C953BDF84FD"/>
        </w:placeholder>
      </w:sdtPr>
      <w:sdtContent>
        <w:p w:rsidR="00D176D4" w:rsidRDefault="00D176D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DC1D2C8EDF949589F82EB7F56007910"/>
        </w:placeholder>
      </w:sdtPr>
      <w:sdtEndPr>
        <w:rPr>
          <w:rFonts w:cs="Times New Roman"/>
          <w:szCs w:val="24"/>
        </w:rPr>
      </w:sdtEndPr>
      <w:sdtContent>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Currently the Estates Code uses the term "certificate" in a way that creates unnecessary confusion. Typically the authority of an estate's personal representative is documented through "letters"—either letters testamentary or letters of administration. The code's references to "certificate," however, suggest the possibility of a separate document issued by the clerk to confirm prior issuance of letters. This could lead to legal misunderstandings, particularly in cases in which the estate has been closed or the personal representative has been removed.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What's more, removing a personal representative from his or her role—due to mismanagement, non-compliance with court orders, incapacity, or failure to settle—requires personal service of legal notice. This involves directly delivering the summons or notice to the individual, a process that is both time-consuming and resource-intensive, regardless of whether the removal is initiated by the court or a concerned party.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The Estates Code also lacks clear procedures for revoking letters (testamentary or of administration) and releasing sureties on a personal representative's bond. Without a defined process for canceling letters, sureties may remain indefinitely liable for the personal representative's actions. This ambiguity complicates estate settlement, creates administrative delays, and risks continued recognition of the representative's authority by third parties, even after their roles should have ended.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S.B. 1335 proposes practical reforms to address these issues and improve the efficiency of estate administration. First, the bill would eliminate the use of "certificate" as an alternative to "letters," removing outdated language and clarifying that "letters" are the sole authoritative documentation for a personal representative's appointment. This change would ensure consistency and reduce confusion for all involved parties.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Second, the bill would allow courts to remove a personal representative by court order, with notice served via certified mail rather than personal service. This adjustment would streamline the removal process, reduce resource burdens, and help resolve estates more efficiently.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Finally, the bill would expand relevant sections of the code to include "independent administrators" alongside "independent executors." By ensuring uniform rules apply to all types of personal representatives, the bill promotes fairness and simplifies the legal framework for estate administration.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 xml:space="preserve">Together these reforms would modernize the Estates Code, minimize confusion, and expedite the resolution of estates for the benefit of courts, families, and third parties alike. </w:t>
          </w:r>
        </w:p>
        <w:p w:rsidR="00D176D4" w:rsidRDefault="00D176D4" w:rsidP="00D176D4">
          <w:pPr>
            <w:pStyle w:val="NormalWeb"/>
            <w:spacing w:before="0" w:beforeAutospacing="0" w:after="0" w:afterAutospacing="0"/>
            <w:jc w:val="both"/>
            <w:divId w:val="1991788520"/>
            <w:rPr>
              <w:rFonts w:eastAsia="Times New Roman" w:cstheme="minorBidi"/>
              <w:bCs/>
              <w:szCs w:val="22"/>
            </w:rPr>
          </w:pPr>
        </w:p>
        <w:p w:rsidR="00D176D4" w:rsidRDefault="00D176D4" w:rsidP="00D176D4">
          <w:pPr>
            <w:pStyle w:val="NormalWeb"/>
            <w:spacing w:before="0" w:beforeAutospacing="0" w:after="0" w:afterAutospacing="0"/>
            <w:jc w:val="both"/>
            <w:divId w:val="1991788520"/>
            <w:rPr>
              <w:rFonts w:eastAsia="Times New Roman" w:cstheme="minorBidi"/>
              <w:bCs/>
              <w:szCs w:val="22"/>
            </w:rPr>
          </w:pPr>
          <w:r w:rsidRPr="00165EC6">
            <w:rPr>
              <w:rFonts w:eastAsia="Times New Roman" w:cstheme="minorBidi"/>
              <w:bCs/>
              <w:szCs w:val="22"/>
            </w:rPr>
            <w:t>(Original Author's/Sponsor's Statement of Intent)</w:t>
          </w:r>
        </w:p>
        <w:p w:rsidR="00D176D4" w:rsidRPr="00165EC6" w:rsidRDefault="00D176D4" w:rsidP="00D176D4">
          <w:pPr>
            <w:pStyle w:val="NormalWeb"/>
            <w:spacing w:before="0" w:beforeAutospacing="0" w:after="0" w:afterAutospacing="0"/>
            <w:jc w:val="both"/>
            <w:divId w:val="1991788520"/>
            <w:rPr>
              <w:rFonts w:eastAsia="Times New Roman" w:cstheme="minorBidi"/>
              <w:bCs/>
              <w:szCs w:val="22"/>
            </w:rPr>
          </w:pPr>
        </w:p>
      </w:sdtContent>
    </w:sdt>
    <w:p w:rsidR="00D176D4" w:rsidRDefault="00D176D4" w:rsidP="00D176D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1335 </w:t>
      </w:r>
      <w:bookmarkStart w:id="1" w:name="AmendsCurrentLaw"/>
      <w:bookmarkEnd w:id="1"/>
      <w:r>
        <w:rPr>
          <w:rFonts w:cs="Times New Roman"/>
          <w:szCs w:val="24"/>
        </w:rPr>
        <w:t>amends current law relating to decedents' estates.</w:t>
      </w:r>
    </w:p>
    <w:p w:rsidR="00D176D4" w:rsidRPr="00165EC6" w:rsidRDefault="00D176D4" w:rsidP="00D176D4">
      <w:pPr>
        <w:spacing w:after="0" w:line="240" w:lineRule="auto"/>
        <w:jc w:val="both"/>
        <w:rPr>
          <w:rFonts w:eastAsia="Times New Roman" w:cs="Times New Roman"/>
          <w:b/>
          <w:szCs w:val="24"/>
          <w:u w:val="single"/>
        </w:rPr>
      </w:pPr>
    </w:p>
    <w:p w:rsidR="00D176D4" w:rsidRPr="005C2A78" w:rsidRDefault="00D176D4" w:rsidP="00D176D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E33BE55AC8F41B2B10962FD7A718F35"/>
          </w:placeholder>
        </w:sdtPr>
        <w:sdtContent>
          <w:r>
            <w:rPr>
              <w:rFonts w:eastAsia="Times New Roman" w:cs="Times New Roman"/>
              <w:b/>
              <w:szCs w:val="24"/>
              <w:u w:val="single"/>
            </w:rPr>
            <w:t>RULEMAKING AUTHORITY</w:t>
          </w:r>
        </w:sdtContent>
      </w:sdt>
    </w:p>
    <w:p w:rsidR="00D176D4" w:rsidRPr="006529C4" w:rsidRDefault="00D176D4" w:rsidP="00D176D4">
      <w:pPr>
        <w:spacing w:after="0" w:line="240" w:lineRule="auto"/>
        <w:jc w:val="both"/>
        <w:rPr>
          <w:rFonts w:cs="Times New Roman"/>
          <w:szCs w:val="24"/>
        </w:rPr>
      </w:pPr>
    </w:p>
    <w:p w:rsidR="00D176D4" w:rsidRDefault="00D176D4" w:rsidP="00D176D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176D4" w:rsidRPr="006529C4" w:rsidRDefault="00D176D4" w:rsidP="00D176D4">
      <w:pPr>
        <w:spacing w:after="0" w:line="240" w:lineRule="auto"/>
        <w:jc w:val="both"/>
        <w:rPr>
          <w:rFonts w:cs="Times New Roman"/>
          <w:szCs w:val="24"/>
        </w:rPr>
      </w:pPr>
    </w:p>
    <w:p w:rsidR="00D176D4" w:rsidRPr="005C2A78" w:rsidRDefault="00D176D4" w:rsidP="00D176D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70B249CE89D485598160F7BC52CD337"/>
          </w:placeholder>
        </w:sdtPr>
        <w:sdtContent>
          <w:r>
            <w:rPr>
              <w:rFonts w:eastAsia="Times New Roman" w:cs="Times New Roman"/>
              <w:b/>
              <w:szCs w:val="24"/>
              <w:u w:val="single"/>
            </w:rPr>
            <w:t>SECTION BY SECTION ANALYSIS</w:t>
          </w:r>
        </w:sdtContent>
      </w:sdt>
    </w:p>
    <w:p w:rsidR="00D176D4" w:rsidRPr="005C2A78"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306.007, Estates Code, as follows: </w:t>
      </w:r>
    </w:p>
    <w:p w:rsidR="00D176D4" w:rsidRDefault="00D176D4" w:rsidP="00D176D4">
      <w:pPr>
        <w:spacing w:after="0" w:line="240" w:lineRule="auto"/>
        <w:jc w:val="both"/>
        <w:rPr>
          <w:rFonts w:eastAsia="Times New Roman" w:cs="Times New Roman"/>
          <w:szCs w:val="24"/>
        </w:rPr>
      </w:pPr>
    </w:p>
    <w:p w:rsidR="00D176D4" w:rsidRPr="00603C67"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Sec. 306.007. </w:t>
      </w:r>
      <w:r>
        <w:rPr>
          <w:rFonts w:eastAsia="Times New Roman" w:cs="Times New Roman"/>
          <w:szCs w:val="24"/>
        </w:rPr>
        <w:t xml:space="preserve">New heading: </w:t>
      </w:r>
      <w:r w:rsidRPr="00603C67">
        <w:rPr>
          <w:rFonts w:eastAsia="Times New Roman" w:cs="Times New Roman"/>
          <w:szCs w:val="24"/>
        </w:rPr>
        <w:t xml:space="preserve">EFFECT OF LETTERS. </w:t>
      </w:r>
      <w:r>
        <w:rPr>
          <w:rFonts w:eastAsia="Times New Roman" w:cs="Times New Roman"/>
          <w:szCs w:val="24"/>
        </w:rPr>
        <w:t xml:space="preserve">Provides that </w:t>
      </w:r>
      <w:r w:rsidRPr="00603C67">
        <w:rPr>
          <w:rFonts w:eastAsia="Times New Roman" w:cs="Times New Roman"/>
          <w:szCs w:val="24"/>
        </w:rPr>
        <w:t>letters testamentary or of administration issued under the court's seal by the clerk of the court that granted the letters are sufficient evidence of the appointment and qualification of the personal representative of an estate and the date of qualification.</w:t>
      </w:r>
    </w:p>
    <w:p w:rsidR="00D176D4" w:rsidRDefault="00D176D4" w:rsidP="00D176D4">
      <w:pPr>
        <w:spacing w:after="0" w:line="240" w:lineRule="auto"/>
        <w:ind w:left="720"/>
        <w:jc w:val="both"/>
        <w:rPr>
          <w:rFonts w:eastAsia="Times New Roman" w:cs="Times New Roman"/>
          <w:szCs w:val="24"/>
        </w:rPr>
      </w:pPr>
    </w:p>
    <w:p w:rsidR="00D176D4" w:rsidRPr="005C2A78" w:rsidRDefault="00D176D4" w:rsidP="00D176D4">
      <w:pPr>
        <w:spacing w:after="0" w:line="240" w:lineRule="auto"/>
        <w:ind w:left="720"/>
        <w:jc w:val="both"/>
        <w:rPr>
          <w:rFonts w:eastAsia="Times New Roman" w:cs="Times New Roman"/>
          <w:szCs w:val="24"/>
        </w:rPr>
      </w:pPr>
      <w:r w:rsidRPr="00603C67">
        <w:rPr>
          <w:rFonts w:eastAsia="Times New Roman" w:cs="Times New Roman"/>
          <w:szCs w:val="24"/>
        </w:rPr>
        <w:t>Deletes existing text</w:t>
      </w:r>
      <w:r>
        <w:rPr>
          <w:rFonts w:eastAsia="Times New Roman" w:cs="Times New Roman"/>
          <w:szCs w:val="24"/>
        </w:rPr>
        <w:t xml:space="preserve"> providing that letters testamentary or of administration or a certificate of the clerk of the court that granted the letters, under the </w:t>
      </w:r>
      <w:r w:rsidRPr="00603C67">
        <w:rPr>
          <w:rFonts w:eastAsia="Times New Roman" w:cs="Times New Roman"/>
          <w:szCs w:val="24"/>
        </w:rPr>
        <w:t>court's seal, indicating that the letters have been issued, is sufficient evidence of</w:t>
      </w:r>
      <w:r>
        <w:rPr>
          <w:rFonts w:eastAsia="Times New Roman" w:cs="Times New Roman"/>
          <w:szCs w:val="24"/>
        </w:rPr>
        <w:t xml:space="preserve"> </w:t>
      </w:r>
      <w:r w:rsidRPr="00603C67">
        <w:rPr>
          <w:rFonts w:eastAsia="Times New Roman" w:cs="Times New Roman"/>
          <w:szCs w:val="24"/>
        </w:rPr>
        <w:t>the appointment and qualification of the personal representative of an estate and the date of qualification.</w:t>
      </w:r>
    </w:p>
    <w:p w:rsidR="00D176D4" w:rsidRPr="005C2A78"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361.052, Estates Code, by amending Subsection (a) and adding Subsection (a-1), as follows: </w:t>
      </w:r>
    </w:p>
    <w:p w:rsidR="00D176D4" w:rsidRDefault="00D176D4" w:rsidP="00D176D4">
      <w:pPr>
        <w:spacing w:after="0" w:line="240" w:lineRule="auto"/>
        <w:jc w:val="both"/>
        <w:rPr>
          <w:rFonts w:eastAsia="Times New Roman" w:cs="Times New Roman"/>
          <w:szCs w:val="24"/>
        </w:rPr>
      </w:pPr>
    </w:p>
    <w:p w:rsidR="00D176D4" w:rsidRPr="00603C67"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(a) Authorizes the court to remove a personal representative as provided by Subsection (a-1) if certain conditions are met. </w:t>
      </w:r>
    </w:p>
    <w:p w:rsidR="00D176D4" w:rsidRDefault="00D176D4" w:rsidP="00D176D4">
      <w:pPr>
        <w:spacing w:after="0" w:line="240" w:lineRule="auto"/>
        <w:ind w:left="720"/>
        <w:jc w:val="both"/>
        <w:rPr>
          <w:rFonts w:eastAsia="Times New Roman" w:cs="Times New Roman"/>
          <w:szCs w:val="24"/>
          <w:highlight w:val="yellow"/>
        </w:rPr>
      </w:pPr>
    </w:p>
    <w:p w:rsidR="00D176D4"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Deletes existing text authorizing the court to remove a personal representative on the court's own motion, or on the complaint of any interested person, after the representative has been cited by personal service to answer at a time and place set in the notice,</w:t>
      </w:r>
      <w:r>
        <w:rPr>
          <w:rFonts w:eastAsia="Times New Roman" w:cs="Times New Roman"/>
          <w:szCs w:val="24"/>
        </w:rPr>
        <w:t xml:space="preserve"> </w:t>
      </w:r>
      <w:r w:rsidRPr="00603C67">
        <w:rPr>
          <w:rFonts w:eastAsia="Times New Roman" w:cs="Times New Roman"/>
          <w:szCs w:val="24"/>
        </w:rPr>
        <w:t>if</w:t>
      </w:r>
      <w:r>
        <w:rPr>
          <w:rFonts w:eastAsia="Times New Roman" w:cs="Times New Roman"/>
          <w:szCs w:val="24"/>
        </w:rPr>
        <w:t xml:space="preserve"> certain conditions are met. </w:t>
      </w:r>
    </w:p>
    <w:p w:rsidR="00D176D4" w:rsidRPr="00603C67" w:rsidRDefault="00D176D4" w:rsidP="00D176D4">
      <w:pPr>
        <w:spacing w:after="0" w:line="240" w:lineRule="auto"/>
        <w:ind w:left="720"/>
        <w:jc w:val="both"/>
        <w:rPr>
          <w:rFonts w:eastAsia="Times New Roman" w:cs="Times New Roman"/>
          <w:szCs w:val="24"/>
          <w:highlight w:val="yellow"/>
        </w:rPr>
      </w:pPr>
    </w:p>
    <w:p w:rsidR="00D176D4" w:rsidRPr="00603C67"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(a-1) Authorizes the court to remove a personal representative for a reason described by Subsection (a) on the court's own motion, after the personal representative has been notified by </w:t>
      </w:r>
      <w:r>
        <w:rPr>
          <w:rFonts w:eastAsia="Times New Roman" w:cs="Times New Roman"/>
          <w:szCs w:val="24"/>
        </w:rPr>
        <w:t>a qualified delivery method</w:t>
      </w:r>
      <w:r w:rsidRPr="00603C67">
        <w:rPr>
          <w:rFonts w:eastAsia="Times New Roman" w:cs="Times New Roman"/>
          <w:szCs w:val="24"/>
        </w:rPr>
        <w:t xml:space="preserve"> to answer at a time and place set in the notice or the complaint of an interested person, after the personal representative has been cited by personal service to answer at a time and place set in the notice.</w:t>
      </w:r>
    </w:p>
    <w:p w:rsidR="00D176D4" w:rsidRPr="005C2A78"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362.012, Estates Code, as follows: </w:t>
      </w:r>
    </w:p>
    <w:p w:rsidR="00D176D4" w:rsidRDefault="00D176D4" w:rsidP="00D176D4">
      <w:pPr>
        <w:spacing w:after="0" w:line="240" w:lineRule="auto"/>
        <w:jc w:val="both"/>
        <w:rPr>
          <w:rFonts w:eastAsia="Times New Roman" w:cs="Times New Roman"/>
          <w:szCs w:val="24"/>
        </w:rPr>
      </w:pPr>
    </w:p>
    <w:p w:rsidR="00D176D4" w:rsidRPr="00603C67"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Sec. 362.012. New heading: DISCHARGE OF PERSONAL REPRESENTATIVE AND BOND SURETIES WHEN NO ESTATE PROPERTY REMAINS; CANCELLATION OF LETTERS. Requires the court, if, on final settlement of the estate, none of the estate remains in the representative's possession, to enter an order:</w:t>
      </w:r>
    </w:p>
    <w:p w:rsidR="00D176D4" w:rsidRPr="00603C67" w:rsidRDefault="00D176D4" w:rsidP="00D176D4">
      <w:pPr>
        <w:spacing w:after="0" w:line="240" w:lineRule="auto"/>
        <w:ind w:left="720"/>
        <w:jc w:val="both"/>
        <w:rPr>
          <w:rFonts w:eastAsia="Times New Roman" w:cs="Times New Roman"/>
          <w:szCs w:val="24"/>
          <w:highlight w:val="yellow"/>
        </w:rPr>
      </w:pPr>
    </w:p>
    <w:p w:rsidR="00D176D4" w:rsidRPr="00603C67" w:rsidRDefault="00D176D4" w:rsidP="00D176D4">
      <w:pPr>
        <w:spacing w:after="0" w:line="240" w:lineRule="auto"/>
        <w:ind w:left="1440"/>
        <w:jc w:val="both"/>
        <w:rPr>
          <w:rFonts w:eastAsia="Times New Roman" w:cs="Times New Roman"/>
          <w:szCs w:val="24"/>
          <w:highlight w:val="yellow"/>
        </w:rPr>
      </w:pPr>
      <w:r w:rsidRPr="00603C67">
        <w:rPr>
          <w:rFonts w:eastAsia="Times New Roman" w:cs="Times New Roman"/>
          <w:szCs w:val="24"/>
        </w:rPr>
        <w:t xml:space="preserve">(1) creates this subdivision from existing text and makes a nonsubstantive change; </w:t>
      </w:r>
    </w:p>
    <w:p w:rsidR="00D176D4" w:rsidRPr="00603C67" w:rsidRDefault="00D176D4" w:rsidP="00D176D4">
      <w:pPr>
        <w:spacing w:after="0" w:line="240" w:lineRule="auto"/>
        <w:ind w:left="1440"/>
        <w:jc w:val="both"/>
        <w:rPr>
          <w:rFonts w:eastAsia="Times New Roman" w:cs="Times New Roman"/>
          <w:szCs w:val="24"/>
          <w:highlight w:val="yellow"/>
        </w:rPr>
      </w:pPr>
    </w:p>
    <w:p w:rsidR="00D176D4" w:rsidRPr="00603C67" w:rsidRDefault="00D176D4" w:rsidP="00D176D4">
      <w:pPr>
        <w:spacing w:after="0" w:line="240" w:lineRule="auto"/>
        <w:ind w:left="1440"/>
        <w:jc w:val="both"/>
        <w:rPr>
          <w:rFonts w:eastAsia="Times New Roman" w:cs="Times New Roman"/>
          <w:szCs w:val="24"/>
        </w:rPr>
      </w:pPr>
      <w:r w:rsidRPr="00603C67">
        <w:rPr>
          <w:rFonts w:eastAsia="Times New Roman" w:cs="Times New Roman"/>
          <w:szCs w:val="24"/>
        </w:rPr>
        <w:t>(2) canceling the letters issued to the personal representative;</w:t>
      </w:r>
    </w:p>
    <w:p w:rsidR="00D176D4" w:rsidRPr="00603C67" w:rsidRDefault="00D176D4" w:rsidP="00D176D4">
      <w:pPr>
        <w:spacing w:after="0" w:line="240" w:lineRule="auto"/>
        <w:ind w:left="1440"/>
        <w:jc w:val="both"/>
        <w:rPr>
          <w:rFonts w:eastAsia="Times New Roman" w:cs="Times New Roman"/>
          <w:szCs w:val="24"/>
        </w:rPr>
      </w:pPr>
    </w:p>
    <w:p w:rsidR="00D176D4" w:rsidRPr="00603C67" w:rsidRDefault="00D176D4" w:rsidP="00D176D4">
      <w:pPr>
        <w:spacing w:after="0" w:line="240" w:lineRule="auto"/>
        <w:ind w:left="1440"/>
        <w:jc w:val="both"/>
        <w:rPr>
          <w:rFonts w:eastAsia="Times New Roman" w:cs="Times New Roman"/>
          <w:szCs w:val="24"/>
          <w:highlight w:val="yellow"/>
        </w:rPr>
      </w:pPr>
      <w:r w:rsidRPr="00603C67">
        <w:rPr>
          <w:rFonts w:eastAsia="Times New Roman" w:cs="Times New Roman"/>
          <w:szCs w:val="24"/>
        </w:rPr>
        <w:t>(3) discharging and releasing the sureties on the personal representative's bond, if applicable; and</w:t>
      </w:r>
    </w:p>
    <w:p w:rsidR="00D176D4" w:rsidRPr="00603C67" w:rsidRDefault="00D176D4" w:rsidP="00D176D4">
      <w:pPr>
        <w:spacing w:after="0" w:line="240" w:lineRule="auto"/>
        <w:ind w:left="1440"/>
        <w:jc w:val="both"/>
        <w:rPr>
          <w:rFonts w:eastAsia="Times New Roman" w:cs="Times New Roman"/>
          <w:szCs w:val="24"/>
          <w:highlight w:val="yellow"/>
        </w:rPr>
      </w:pPr>
    </w:p>
    <w:p w:rsidR="00D176D4" w:rsidRDefault="00D176D4" w:rsidP="00D176D4">
      <w:pPr>
        <w:spacing w:after="0" w:line="240" w:lineRule="auto"/>
        <w:ind w:left="1440"/>
        <w:jc w:val="both"/>
        <w:rPr>
          <w:rFonts w:eastAsia="Times New Roman" w:cs="Times New Roman"/>
          <w:szCs w:val="24"/>
        </w:rPr>
      </w:pPr>
      <w:r w:rsidRPr="00603C67">
        <w:rPr>
          <w:rFonts w:eastAsia="Times New Roman" w:cs="Times New Roman"/>
          <w:szCs w:val="24"/>
        </w:rPr>
        <w:t>(4) creates this subdivision from existing text.</w:t>
      </w:r>
    </w:p>
    <w:p w:rsidR="00D176D4" w:rsidRDefault="00D176D4" w:rsidP="00D176D4">
      <w:pPr>
        <w:spacing w:after="0" w:line="240" w:lineRule="auto"/>
        <w:ind w:left="1440"/>
        <w:jc w:val="both"/>
        <w:rPr>
          <w:rFonts w:eastAsia="Times New Roman" w:cs="Times New Roman"/>
          <w:szCs w:val="24"/>
        </w:rPr>
      </w:pPr>
    </w:p>
    <w:p w:rsidR="00D176D4" w:rsidRDefault="00D176D4" w:rsidP="00D176D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closing the estate if, on final settlement of the estate, none of the estate remains in the representative's possession.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4. Amends Section 362.013, Estates Code, as follows: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ind w:left="720"/>
        <w:jc w:val="both"/>
        <w:rPr>
          <w:rFonts w:eastAsia="Times New Roman" w:cs="Times New Roman"/>
          <w:szCs w:val="24"/>
        </w:rPr>
      </w:pPr>
      <w:r w:rsidRPr="00603C67">
        <w:rPr>
          <w:rFonts w:eastAsia="Times New Roman" w:cs="Times New Roman"/>
          <w:szCs w:val="24"/>
        </w:rPr>
        <w:t>Sec. 362.013. New heading: DISCHARGE OF PERSONAL REPRESENTATIVE AND BOND SURETIES WHEN ESTATE FULLY ADMINISTERED; CANCELLATION OF LETTERS.</w:t>
      </w:r>
      <w:r>
        <w:rPr>
          <w:rFonts w:eastAsia="Times New Roman" w:cs="Times New Roman"/>
          <w:szCs w:val="24"/>
        </w:rPr>
        <w:t xml:space="preserve"> </w:t>
      </w:r>
      <w:r w:rsidRPr="00603C67">
        <w:rPr>
          <w:rFonts w:eastAsia="Times New Roman" w:cs="Times New Roman"/>
          <w:szCs w:val="24"/>
        </w:rPr>
        <w:t>Requires the court to enter an order specifying the actions described by Sections 362.012(1) (relating to an order discharging a personal representative from the representative</w:t>
      </w:r>
      <w:r>
        <w:rPr>
          <w:rFonts w:eastAsia="Times New Roman" w:cs="Times New Roman"/>
          <w:szCs w:val="24"/>
        </w:rPr>
        <w:t>'</w:t>
      </w:r>
      <w:r w:rsidRPr="00603C67">
        <w:rPr>
          <w:rFonts w:eastAsia="Times New Roman" w:cs="Times New Roman"/>
          <w:szCs w:val="24"/>
        </w:rPr>
        <w:t>s trust)</w:t>
      </w:r>
      <w:r>
        <w:rPr>
          <w:rFonts w:eastAsia="Times New Roman" w:cs="Times New Roman"/>
          <w:szCs w:val="24"/>
        </w:rPr>
        <w:t>,</w:t>
      </w:r>
      <w:r w:rsidRPr="00603C67">
        <w:rPr>
          <w:rFonts w:eastAsia="Times New Roman" w:cs="Times New Roman"/>
          <w:szCs w:val="24"/>
        </w:rPr>
        <w:t xml:space="preserve"> (2), and (3) and declaring the estate closed when certain</w:t>
      </w:r>
      <w:r>
        <w:rPr>
          <w:rFonts w:eastAsia="Times New Roman" w:cs="Times New Roman"/>
          <w:szCs w:val="24"/>
        </w:rPr>
        <w:t xml:space="preserve"> conditions are met.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declaring the estate closed when certain conditions are met.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5. Amends Section 405.001(c), Estates Code, as follows: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ind w:left="720"/>
        <w:jc w:val="both"/>
        <w:rPr>
          <w:rFonts w:eastAsia="Times New Roman" w:cs="Times New Roman"/>
          <w:szCs w:val="24"/>
        </w:rPr>
      </w:pPr>
      <w:r w:rsidRPr="00603C67">
        <w:rPr>
          <w:rFonts w:eastAsia="Times New Roman" w:cs="Times New Roman"/>
          <w:szCs w:val="24"/>
        </w:rPr>
        <w:t>(c) Authorizes the court, if all the property in the estate is ordered distributed by the court and the estate is fully administered, to also order the independent executor to file a final account with the court and to enter an order closing the administration, canceling the letters issued to the personal representative, and terminating the power of the personal representative, rather than independent executor, to act as independent executor or independent administrator.</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6. Amends Section 405.007(b), estates Code, as follows: </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ind w:left="720"/>
        <w:jc w:val="both"/>
        <w:rPr>
          <w:rFonts w:eastAsia="Times New Roman" w:cs="Times New Roman"/>
          <w:szCs w:val="24"/>
        </w:rPr>
      </w:pPr>
      <w:r w:rsidRPr="00603C67">
        <w:rPr>
          <w:rFonts w:eastAsia="Times New Roman" w:cs="Times New Roman"/>
          <w:szCs w:val="24"/>
        </w:rPr>
        <w:t>(b) Provides that the closing of an independent administration by filing of a closing report or notice of closing estate terminates the power and authority of the independent executor, including the independent administrator, and cancels the letters issued to the personal representative, but does not relieve the independent executor or administrator, as applicable, from liability for any mismanagement of the estate or from liability for any false statements contained in the report or notice.</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7. Amends Section 405.009(a), Estates Code, as follows: </w:t>
      </w:r>
    </w:p>
    <w:p w:rsidR="00D176D4" w:rsidRDefault="00D176D4" w:rsidP="00D176D4">
      <w:pPr>
        <w:spacing w:after="0" w:line="240" w:lineRule="auto"/>
        <w:jc w:val="both"/>
        <w:rPr>
          <w:rFonts w:eastAsia="Times New Roman" w:cs="Times New Roman"/>
          <w:szCs w:val="24"/>
        </w:rPr>
      </w:pPr>
    </w:p>
    <w:p w:rsidR="00D176D4" w:rsidRPr="00603C67" w:rsidRDefault="00D176D4" w:rsidP="00D176D4">
      <w:pPr>
        <w:spacing w:after="0" w:line="240" w:lineRule="auto"/>
        <w:ind w:left="720"/>
        <w:jc w:val="both"/>
        <w:rPr>
          <w:rFonts w:eastAsia="Times New Roman" w:cs="Times New Roman"/>
          <w:szCs w:val="24"/>
          <w:highlight w:val="yellow"/>
        </w:rPr>
      </w:pPr>
      <w:r w:rsidRPr="00603C67">
        <w:rPr>
          <w:rFonts w:eastAsia="Times New Roman" w:cs="Times New Roman"/>
          <w:szCs w:val="24"/>
        </w:rPr>
        <w:t>(a) Authorizes any distributee, at any time after an estate has been fully administered and there is no further need for an independent administration of the estate, to file an application to close the administration; and authorizes the court, after citation on the independent administrator or other independent executor, as applicable, and on hearing, to enter an order:</w:t>
      </w:r>
    </w:p>
    <w:p w:rsidR="00D176D4" w:rsidRPr="00603C67" w:rsidRDefault="00D176D4" w:rsidP="00D176D4">
      <w:pPr>
        <w:spacing w:after="0" w:line="240" w:lineRule="auto"/>
        <w:ind w:left="720"/>
        <w:jc w:val="both"/>
        <w:rPr>
          <w:rFonts w:eastAsia="Times New Roman" w:cs="Times New Roman"/>
          <w:szCs w:val="24"/>
          <w:highlight w:val="yellow"/>
        </w:rPr>
      </w:pPr>
    </w:p>
    <w:p w:rsidR="00D176D4" w:rsidRPr="00603C67" w:rsidRDefault="00D176D4" w:rsidP="00D176D4">
      <w:pPr>
        <w:spacing w:after="0" w:line="240" w:lineRule="auto"/>
        <w:ind w:left="1440"/>
        <w:jc w:val="both"/>
        <w:rPr>
          <w:rFonts w:eastAsia="Times New Roman" w:cs="Times New Roman"/>
          <w:szCs w:val="24"/>
        </w:rPr>
      </w:pPr>
      <w:r w:rsidRPr="00603C67">
        <w:rPr>
          <w:rFonts w:eastAsia="Times New Roman" w:cs="Times New Roman"/>
          <w:szCs w:val="24"/>
        </w:rPr>
        <w:t>(1)-(2) makes</w:t>
      </w:r>
      <w:r>
        <w:rPr>
          <w:rFonts w:eastAsia="Times New Roman" w:cs="Times New Roman"/>
          <w:szCs w:val="24"/>
        </w:rPr>
        <w:t xml:space="preserve"> no changes to these subdivisions; </w:t>
      </w:r>
    </w:p>
    <w:p w:rsidR="00D176D4" w:rsidRPr="00603C67" w:rsidRDefault="00D176D4" w:rsidP="00D176D4">
      <w:pPr>
        <w:spacing w:after="0" w:line="240" w:lineRule="auto"/>
        <w:jc w:val="both"/>
        <w:rPr>
          <w:rFonts w:eastAsia="Times New Roman" w:cs="Times New Roman"/>
          <w:szCs w:val="24"/>
          <w:highlight w:val="yellow"/>
        </w:rPr>
      </w:pPr>
    </w:p>
    <w:p w:rsidR="00D176D4" w:rsidRPr="00603C67" w:rsidRDefault="00D176D4" w:rsidP="00D176D4">
      <w:pPr>
        <w:spacing w:after="0" w:line="240" w:lineRule="auto"/>
        <w:ind w:left="1440"/>
        <w:jc w:val="both"/>
        <w:rPr>
          <w:rFonts w:eastAsia="Times New Roman" w:cs="Times New Roman"/>
          <w:szCs w:val="24"/>
        </w:rPr>
      </w:pPr>
      <w:r w:rsidRPr="00603C67">
        <w:rPr>
          <w:rFonts w:eastAsia="Times New Roman" w:cs="Times New Roman"/>
          <w:szCs w:val="24"/>
        </w:rPr>
        <w:t>(3) terminating the power of the personal representative, rather than independent executor, to act as independent executor or administrator, as applicable, and canceling the letters issued to the personal representative; and</w:t>
      </w:r>
    </w:p>
    <w:p w:rsidR="00D176D4" w:rsidRPr="00603C67" w:rsidRDefault="00D176D4" w:rsidP="00D176D4">
      <w:pPr>
        <w:spacing w:after="0" w:line="240" w:lineRule="auto"/>
        <w:ind w:left="1440"/>
        <w:jc w:val="both"/>
        <w:rPr>
          <w:rFonts w:eastAsia="Times New Roman" w:cs="Times New Roman"/>
          <w:szCs w:val="24"/>
        </w:rPr>
      </w:pPr>
    </w:p>
    <w:p w:rsidR="00D176D4" w:rsidRDefault="00D176D4" w:rsidP="00D176D4">
      <w:pPr>
        <w:spacing w:after="0" w:line="240" w:lineRule="auto"/>
        <w:ind w:left="1440"/>
        <w:jc w:val="both"/>
        <w:rPr>
          <w:rFonts w:eastAsia="Times New Roman" w:cs="Times New Roman"/>
          <w:szCs w:val="24"/>
        </w:rPr>
      </w:pPr>
      <w:r w:rsidRPr="00603C67">
        <w:rPr>
          <w:rFonts w:eastAsia="Times New Roman" w:cs="Times New Roman"/>
          <w:szCs w:val="24"/>
        </w:rPr>
        <w:t>(4) releasing the sureties on any bond the independent executor, including the independent administrator, was required to give from all liability for the future acts of the principal.</w:t>
      </w:r>
    </w:p>
    <w:p w:rsidR="00D176D4" w:rsidRDefault="00D176D4" w:rsidP="00D176D4">
      <w:pPr>
        <w:spacing w:after="0" w:line="240" w:lineRule="auto"/>
        <w:jc w:val="both"/>
        <w:rPr>
          <w:rFonts w:eastAsia="Times New Roman" w:cs="Times New Roman"/>
          <w:szCs w:val="24"/>
        </w:rPr>
      </w:pPr>
    </w:p>
    <w:p w:rsidR="00D176D4"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8. Makes application of Section 361.052, Estates Code, as amended by this Act, prospective. </w:t>
      </w:r>
    </w:p>
    <w:p w:rsidR="00D176D4" w:rsidRDefault="00D176D4" w:rsidP="00D176D4">
      <w:pPr>
        <w:spacing w:after="0" w:line="240" w:lineRule="auto"/>
        <w:jc w:val="both"/>
        <w:rPr>
          <w:rFonts w:eastAsia="Times New Roman" w:cs="Times New Roman"/>
          <w:szCs w:val="24"/>
        </w:rPr>
      </w:pPr>
    </w:p>
    <w:p w:rsidR="00D176D4" w:rsidRPr="00C8671F" w:rsidRDefault="00D176D4" w:rsidP="00D176D4">
      <w:pPr>
        <w:spacing w:after="0" w:line="240" w:lineRule="auto"/>
        <w:jc w:val="both"/>
        <w:rPr>
          <w:rFonts w:eastAsia="Times New Roman" w:cs="Times New Roman"/>
          <w:szCs w:val="24"/>
        </w:rPr>
      </w:pPr>
      <w:r>
        <w:rPr>
          <w:rFonts w:eastAsia="Times New Roman" w:cs="Times New Roman"/>
          <w:szCs w:val="24"/>
        </w:rPr>
        <w:t xml:space="preserve">SECTION 9. Effective date: September 1, 2025. </w:t>
      </w:r>
    </w:p>
    <w:p w:rsidR="00D176D4" w:rsidRPr="00C8671F" w:rsidRDefault="00D176D4" w:rsidP="00D176D4">
      <w:pPr>
        <w:spacing w:after="0" w:line="240" w:lineRule="auto"/>
        <w:jc w:val="both"/>
        <w:rPr>
          <w:rFonts w:eastAsia="Times New Roman" w:cs="Times New Roman"/>
          <w:szCs w:val="24"/>
        </w:rPr>
      </w:pPr>
    </w:p>
    <w:sectPr w:rsidR="00D176D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4EFE" w:rsidRDefault="00DD4EFE" w:rsidP="000F1DF9">
      <w:pPr>
        <w:spacing w:after="0" w:line="240" w:lineRule="auto"/>
      </w:pPr>
      <w:r>
        <w:separator/>
      </w:r>
    </w:p>
  </w:endnote>
  <w:endnote w:type="continuationSeparator" w:id="0">
    <w:p w:rsidR="00DD4EFE" w:rsidRDefault="00DD4EF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D4EF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176D4">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176D4">
                <w:rPr>
                  <w:sz w:val="20"/>
                  <w:szCs w:val="20"/>
                </w:rPr>
                <w:t>S.B. 1335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176D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D4EF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4EFE" w:rsidRDefault="00DD4EFE" w:rsidP="000F1DF9">
      <w:pPr>
        <w:spacing w:after="0" w:line="240" w:lineRule="auto"/>
      </w:pPr>
      <w:r>
        <w:separator/>
      </w:r>
    </w:p>
  </w:footnote>
  <w:footnote w:type="continuationSeparator" w:id="0">
    <w:p w:rsidR="00DD4EFE" w:rsidRDefault="00DD4EF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176D4"/>
    <w:rsid w:val="00D70925"/>
    <w:rsid w:val="00DB48D8"/>
    <w:rsid w:val="00DD4EFE"/>
    <w:rsid w:val="00E0194A"/>
    <w:rsid w:val="00E036F8"/>
    <w:rsid w:val="00E10F50"/>
    <w:rsid w:val="00E23091"/>
    <w:rsid w:val="00E32B14"/>
    <w:rsid w:val="00E4505D"/>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7191"/>
  <w15:docId w15:val="{1AF449B3-724A-4B65-9867-39144936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176D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E6FEDBEA4034E3F83054D725BD1767B"/>
        <w:category>
          <w:name w:val="General"/>
          <w:gallery w:val="placeholder"/>
        </w:category>
        <w:types>
          <w:type w:val="bbPlcHdr"/>
        </w:types>
        <w:behaviors>
          <w:behavior w:val="content"/>
        </w:behaviors>
        <w:guid w:val="{19878560-9888-43A5-A0F0-EAD057B11413}"/>
      </w:docPartPr>
      <w:docPartBody>
        <w:p w:rsidR="004778D3" w:rsidRDefault="004778D3"/>
      </w:docPartBody>
    </w:docPart>
    <w:docPart>
      <w:docPartPr>
        <w:name w:val="6886261FE2104A1EA840B009D7452D6C"/>
        <w:category>
          <w:name w:val="General"/>
          <w:gallery w:val="placeholder"/>
        </w:category>
        <w:types>
          <w:type w:val="bbPlcHdr"/>
        </w:types>
        <w:behaviors>
          <w:behavior w:val="content"/>
        </w:behaviors>
        <w:guid w:val="{735ABF0C-2133-47BD-B57C-6A38C01C1EF3}"/>
      </w:docPartPr>
      <w:docPartBody>
        <w:p w:rsidR="004778D3" w:rsidRDefault="004778D3"/>
      </w:docPartBody>
    </w:docPart>
    <w:docPart>
      <w:docPartPr>
        <w:name w:val="0DB6877DEF9D42528F6C2A4E0B721862"/>
        <w:category>
          <w:name w:val="General"/>
          <w:gallery w:val="placeholder"/>
        </w:category>
        <w:types>
          <w:type w:val="bbPlcHdr"/>
        </w:types>
        <w:behaviors>
          <w:behavior w:val="content"/>
        </w:behaviors>
        <w:guid w:val="{062BEC64-24A5-40B9-A0C2-71E1ABAAB080}"/>
      </w:docPartPr>
      <w:docPartBody>
        <w:p w:rsidR="004778D3" w:rsidRDefault="004778D3"/>
      </w:docPartBody>
    </w:docPart>
    <w:docPart>
      <w:docPartPr>
        <w:name w:val="263F6587E84446869C8E9C9643A221C5"/>
        <w:category>
          <w:name w:val="General"/>
          <w:gallery w:val="placeholder"/>
        </w:category>
        <w:types>
          <w:type w:val="bbPlcHdr"/>
        </w:types>
        <w:behaviors>
          <w:behavior w:val="content"/>
        </w:behaviors>
        <w:guid w:val="{2ADBB4C1-793B-42E5-9D3E-9D5BB641D234}"/>
      </w:docPartPr>
      <w:docPartBody>
        <w:p w:rsidR="004778D3" w:rsidRDefault="004778D3"/>
      </w:docPartBody>
    </w:docPart>
    <w:docPart>
      <w:docPartPr>
        <w:name w:val="4B45AA8A5BDA402AA21F4B0B7EB4F39D"/>
        <w:category>
          <w:name w:val="General"/>
          <w:gallery w:val="placeholder"/>
        </w:category>
        <w:types>
          <w:type w:val="bbPlcHdr"/>
        </w:types>
        <w:behaviors>
          <w:behavior w:val="content"/>
        </w:behaviors>
        <w:guid w:val="{5FDAEB34-EC4B-4E4E-8644-6A7C5B7FC52F}"/>
      </w:docPartPr>
      <w:docPartBody>
        <w:p w:rsidR="004778D3" w:rsidRDefault="004778D3"/>
      </w:docPartBody>
    </w:docPart>
    <w:docPart>
      <w:docPartPr>
        <w:name w:val="182C217ACE94403B80E912088740C2F0"/>
        <w:category>
          <w:name w:val="General"/>
          <w:gallery w:val="placeholder"/>
        </w:category>
        <w:types>
          <w:type w:val="bbPlcHdr"/>
        </w:types>
        <w:behaviors>
          <w:behavior w:val="content"/>
        </w:behaviors>
        <w:guid w:val="{46555A41-3762-4F9A-818C-3EB8821B2BF3}"/>
      </w:docPartPr>
      <w:docPartBody>
        <w:p w:rsidR="004778D3" w:rsidRDefault="004778D3"/>
      </w:docPartBody>
    </w:docPart>
    <w:docPart>
      <w:docPartPr>
        <w:name w:val="221ADACC14B2434C991DB7BAF3A0AF01"/>
        <w:category>
          <w:name w:val="General"/>
          <w:gallery w:val="placeholder"/>
        </w:category>
        <w:types>
          <w:type w:val="bbPlcHdr"/>
        </w:types>
        <w:behaviors>
          <w:behavior w:val="content"/>
        </w:behaviors>
        <w:guid w:val="{1F01BF2A-BC68-41E1-8DB9-2381E9FA7E17}"/>
      </w:docPartPr>
      <w:docPartBody>
        <w:p w:rsidR="004778D3" w:rsidRDefault="004778D3"/>
      </w:docPartBody>
    </w:docPart>
    <w:docPart>
      <w:docPartPr>
        <w:name w:val="BFA6E0718A4048168F23BBCBA5DD11B8"/>
        <w:category>
          <w:name w:val="General"/>
          <w:gallery w:val="placeholder"/>
        </w:category>
        <w:types>
          <w:type w:val="bbPlcHdr"/>
        </w:types>
        <w:behaviors>
          <w:behavior w:val="content"/>
        </w:behaviors>
        <w:guid w:val="{A503D2E7-9686-42C8-AE5B-EBCC24750836}"/>
      </w:docPartPr>
      <w:docPartBody>
        <w:p w:rsidR="004778D3" w:rsidRDefault="004778D3"/>
      </w:docPartBody>
    </w:docPart>
    <w:docPart>
      <w:docPartPr>
        <w:name w:val="96B1FA6C855F4F0082EFBE88E0F3C9D4"/>
        <w:category>
          <w:name w:val="General"/>
          <w:gallery w:val="placeholder"/>
        </w:category>
        <w:types>
          <w:type w:val="bbPlcHdr"/>
        </w:types>
        <w:behaviors>
          <w:behavior w:val="content"/>
        </w:behaviors>
        <w:guid w:val="{07D2832A-2C79-42E0-BECE-35ED3FB3935E}"/>
      </w:docPartPr>
      <w:docPartBody>
        <w:p w:rsidR="004778D3" w:rsidRDefault="004778D3"/>
      </w:docPartBody>
    </w:docPart>
    <w:docPart>
      <w:docPartPr>
        <w:name w:val="A8945C73366E4A0EAE4B85FA31612564"/>
        <w:category>
          <w:name w:val="General"/>
          <w:gallery w:val="placeholder"/>
        </w:category>
        <w:types>
          <w:type w:val="bbPlcHdr"/>
        </w:types>
        <w:behaviors>
          <w:behavior w:val="content"/>
        </w:behaviors>
        <w:guid w:val="{0189A177-8B50-4680-98A7-6960934C3593}"/>
      </w:docPartPr>
      <w:docPartBody>
        <w:p w:rsidR="004778D3" w:rsidRDefault="00BA3C55" w:rsidP="00BA3C55">
          <w:pPr>
            <w:pStyle w:val="A8945C73366E4A0EAE4B85FA31612564"/>
          </w:pPr>
          <w:r w:rsidRPr="00A30DD1">
            <w:rPr>
              <w:rStyle w:val="PlaceholderText"/>
            </w:rPr>
            <w:t>Click here to enter a date.</w:t>
          </w:r>
        </w:p>
      </w:docPartBody>
    </w:docPart>
    <w:docPart>
      <w:docPartPr>
        <w:name w:val="F9306EFF546F4B028BD39278B2BD6B87"/>
        <w:category>
          <w:name w:val="General"/>
          <w:gallery w:val="placeholder"/>
        </w:category>
        <w:types>
          <w:type w:val="bbPlcHdr"/>
        </w:types>
        <w:behaviors>
          <w:behavior w:val="content"/>
        </w:behaviors>
        <w:guid w:val="{51C251C9-F9F8-48FE-ABE8-835701966C26}"/>
      </w:docPartPr>
      <w:docPartBody>
        <w:p w:rsidR="004778D3" w:rsidRDefault="004778D3"/>
      </w:docPartBody>
    </w:docPart>
    <w:docPart>
      <w:docPartPr>
        <w:name w:val="8D2B6D9E0A644A02AD050C953BDF84FD"/>
        <w:category>
          <w:name w:val="General"/>
          <w:gallery w:val="placeholder"/>
        </w:category>
        <w:types>
          <w:type w:val="bbPlcHdr"/>
        </w:types>
        <w:behaviors>
          <w:behavior w:val="content"/>
        </w:behaviors>
        <w:guid w:val="{0D56FFA2-839F-4C54-BA60-A6E323A5D1E7}"/>
      </w:docPartPr>
      <w:docPartBody>
        <w:p w:rsidR="004778D3" w:rsidRDefault="004778D3"/>
      </w:docPartBody>
    </w:docPart>
    <w:docPart>
      <w:docPartPr>
        <w:name w:val="EDC1D2C8EDF949589F82EB7F56007910"/>
        <w:category>
          <w:name w:val="General"/>
          <w:gallery w:val="placeholder"/>
        </w:category>
        <w:types>
          <w:type w:val="bbPlcHdr"/>
        </w:types>
        <w:behaviors>
          <w:behavior w:val="content"/>
        </w:behaviors>
        <w:guid w:val="{B9431E25-9147-4858-AC14-AEC9CED962CC}"/>
      </w:docPartPr>
      <w:docPartBody>
        <w:p w:rsidR="004778D3" w:rsidRDefault="00BA3C55" w:rsidP="00BA3C55">
          <w:pPr>
            <w:pStyle w:val="EDC1D2C8EDF949589F82EB7F56007910"/>
          </w:pPr>
          <w:r>
            <w:rPr>
              <w:rFonts w:eastAsia="Times New Roman" w:cs="Times New Roman"/>
              <w:bCs/>
            </w:rPr>
            <w:t xml:space="preserve"> </w:t>
          </w:r>
        </w:p>
      </w:docPartBody>
    </w:docPart>
    <w:docPart>
      <w:docPartPr>
        <w:name w:val="4E33BE55AC8F41B2B10962FD7A718F35"/>
        <w:category>
          <w:name w:val="General"/>
          <w:gallery w:val="placeholder"/>
        </w:category>
        <w:types>
          <w:type w:val="bbPlcHdr"/>
        </w:types>
        <w:behaviors>
          <w:behavior w:val="content"/>
        </w:behaviors>
        <w:guid w:val="{F97D4ABB-902C-489F-ABE2-614677531B35}"/>
      </w:docPartPr>
      <w:docPartBody>
        <w:p w:rsidR="004778D3" w:rsidRDefault="004778D3"/>
      </w:docPartBody>
    </w:docPart>
    <w:docPart>
      <w:docPartPr>
        <w:name w:val="770B249CE89D485598160F7BC52CD337"/>
        <w:category>
          <w:name w:val="General"/>
          <w:gallery w:val="placeholder"/>
        </w:category>
        <w:types>
          <w:type w:val="bbPlcHdr"/>
        </w:types>
        <w:behaviors>
          <w:behavior w:val="content"/>
        </w:behaviors>
        <w:guid w:val="{0DB84E20-40ED-4BD3-8328-D90F2465B6E1}"/>
      </w:docPartPr>
      <w:docPartBody>
        <w:p w:rsidR="004778D3" w:rsidRDefault="00477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778D3"/>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A3C55"/>
    <w:rsid w:val="00C129E8"/>
    <w:rsid w:val="00C968BA"/>
    <w:rsid w:val="00D63E87"/>
    <w:rsid w:val="00D705C9"/>
    <w:rsid w:val="00E0194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C55"/>
    <w:rPr>
      <w:color w:val="808080"/>
    </w:rPr>
  </w:style>
  <w:style w:type="paragraph" w:customStyle="1" w:styleId="A8945C73366E4A0EAE4B85FA31612564">
    <w:name w:val="A8945C73366E4A0EAE4B85FA31612564"/>
    <w:rsid w:val="00BA3C55"/>
    <w:pPr>
      <w:spacing w:after="160" w:line="278" w:lineRule="auto"/>
    </w:pPr>
    <w:rPr>
      <w:kern w:val="2"/>
      <w:sz w:val="24"/>
      <w:szCs w:val="24"/>
      <w14:ligatures w14:val="standardContextual"/>
    </w:rPr>
  </w:style>
  <w:style w:type="paragraph" w:customStyle="1" w:styleId="EDC1D2C8EDF949589F82EB7F56007910">
    <w:name w:val="EDC1D2C8EDF949589F82EB7F56007910"/>
    <w:rsid w:val="00BA3C5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1278</Words>
  <Characters>7285</Characters>
  <Application>Microsoft Office Word</Application>
  <DocSecurity>0</DocSecurity>
  <Lines>60</Lines>
  <Paragraphs>17</Paragraphs>
  <ScaleCrop>false</ScaleCrop>
  <Company>Texas Legislative Council</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2025-06-13T17:53:00Z</dcterms:modified>
</cp:coreProperties>
</file>

<file path=docProps/custom.xml><?xml version="1.0" encoding="utf-8"?>
<op:Properties xmlns:vt="http://schemas.openxmlformats.org/officeDocument/2006/docPropsVTypes" xmlns:op="http://schemas.openxmlformats.org/officeDocument/2006/custom-properties"/>
</file>