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5528C" w14:paraId="71CC2E15" w14:textId="77777777" w:rsidTr="00345119">
        <w:tc>
          <w:tcPr>
            <w:tcW w:w="9576" w:type="dxa"/>
            <w:noWrap/>
          </w:tcPr>
          <w:p w14:paraId="253B5F85" w14:textId="77777777" w:rsidR="008423E4" w:rsidRPr="0022177D" w:rsidRDefault="00116B0E" w:rsidP="00D36B8E">
            <w:pPr>
              <w:pStyle w:val="Heading1"/>
            </w:pPr>
            <w:r w:rsidRPr="00631897">
              <w:t>BILL ANALYSIS</w:t>
            </w:r>
          </w:p>
        </w:tc>
      </w:tr>
    </w:tbl>
    <w:p w14:paraId="4110C162" w14:textId="77777777" w:rsidR="008423E4" w:rsidRPr="0022177D" w:rsidRDefault="008423E4" w:rsidP="00D36B8E">
      <w:pPr>
        <w:jc w:val="center"/>
      </w:pPr>
    </w:p>
    <w:p w14:paraId="3AD799DA" w14:textId="77777777" w:rsidR="008423E4" w:rsidRPr="00B31F0E" w:rsidRDefault="008423E4" w:rsidP="00D36B8E"/>
    <w:p w14:paraId="7C362472" w14:textId="77777777" w:rsidR="008423E4" w:rsidRPr="00742794" w:rsidRDefault="008423E4" w:rsidP="00D36B8E">
      <w:pPr>
        <w:tabs>
          <w:tab w:val="right" w:pos="9360"/>
        </w:tabs>
      </w:pPr>
    </w:p>
    <w:tbl>
      <w:tblPr>
        <w:tblW w:w="0" w:type="auto"/>
        <w:tblLayout w:type="fixed"/>
        <w:tblLook w:val="01E0" w:firstRow="1" w:lastRow="1" w:firstColumn="1" w:lastColumn="1" w:noHBand="0" w:noVBand="0"/>
      </w:tblPr>
      <w:tblGrid>
        <w:gridCol w:w="9576"/>
      </w:tblGrid>
      <w:tr w:rsidR="0035528C" w14:paraId="477A21D1" w14:textId="77777777" w:rsidTr="00345119">
        <w:tc>
          <w:tcPr>
            <w:tcW w:w="9576" w:type="dxa"/>
          </w:tcPr>
          <w:p w14:paraId="44212AF7" w14:textId="1999A2F7" w:rsidR="008423E4" w:rsidRPr="00861995" w:rsidRDefault="00116B0E" w:rsidP="00D36B8E">
            <w:pPr>
              <w:jc w:val="right"/>
            </w:pPr>
            <w:r>
              <w:t>S.B. 1352</w:t>
            </w:r>
          </w:p>
        </w:tc>
      </w:tr>
      <w:tr w:rsidR="0035528C" w14:paraId="72348939" w14:textId="77777777" w:rsidTr="00345119">
        <w:tc>
          <w:tcPr>
            <w:tcW w:w="9576" w:type="dxa"/>
          </w:tcPr>
          <w:p w14:paraId="337031D5" w14:textId="09D29624" w:rsidR="008423E4" w:rsidRPr="00861995" w:rsidRDefault="00116B0E" w:rsidP="00D36B8E">
            <w:pPr>
              <w:jc w:val="right"/>
            </w:pPr>
            <w:r>
              <w:t xml:space="preserve">By: </w:t>
            </w:r>
            <w:r w:rsidR="00721D91">
              <w:t>Hinojosa, Adam</w:t>
            </w:r>
          </w:p>
        </w:tc>
      </w:tr>
      <w:tr w:rsidR="0035528C" w14:paraId="4FD5101D" w14:textId="77777777" w:rsidTr="00345119">
        <w:tc>
          <w:tcPr>
            <w:tcW w:w="9576" w:type="dxa"/>
          </w:tcPr>
          <w:p w14:paraId="64814F88" w14:textId="579681E1" w:rsidR="008423E4" w:rsidRPr="00861995" w:rsidRDefault="00116B0E" w:rsidP="00D36B8E">
            <w:pPr>
              <w:jc w:val="right"/>
            </w:pPr>
            <w:r>
              <w:t>Ways &amp; Means</w:t>
            </w:r>
          </w:p>
        </w:tc>
      </w:tr>
      <w:tr w:rsidR="0035528C" w14:paraId="683C15EB" w14:textId="77777777" w:rsidTr="00345119">
        <w:tc>
          <w:tcPr>
            <w:tcW w:w="9576" w:type="dxa"/>
          </w:tcPr>
          <w:p w14:paraId="3BD7FE1B" w14:textId="1BFAA7F7" w:rsidR="008423E4" w:rsidRDefault="00116B0E" w:rsidP="00D36B8E">
            <w:pPr>
              <w:jc w:val="right"/>
            </w:pPr>
            <w:r>
              <w:t>Committee Report (Unamended)</w:t>
            </w:r>
          </w:p>
        </w:tc>
      </w:tr>
    </w:tbl>
    <w:p w14:paraId="6421B67B" w14:textId="77777777" w:rsidR="008423E4" w:rsidRDefault="008423E4" w:rsidP="00D36B8E">
      <w:pPr>
        <w:tabs>
          <w:tab w:val="right" w:pos="9360"/>
        </w:tabs>
      </w:pPr>
    </w:p>
    <w:p w14:paraId="7C626BEA" w14:textId="77777777" w:rsidR="008423E4" w:rsidRDefault="008423E4" w:rsidP="00D36B8E"/>
    <w:p w14:paraId="66D2EB0A" w14:textId="77777777" w:rsidR="008423E4" w:rsidRDefault="008423E4" w:rsidP="00D36B8E"/>
    <w:tbl>
      <w:tblPr>
        <w:tblW w:w="0" w:type="auto"/>
        <w:tblCellMar>
          <w:left w:w="115" w:type="dxa"/>
          <w:right w:w="115" w:type="dxa"/>
        </w:tblCellMar>
        <w:tblLook w:val="01E0" w:firstRow="1" w:lastRow="1" w:firstColumn="1" w:lastColumn="1" w:noHBand="0" w:noVBand="0"/>
      </w:tblPr>
      <w:tblGrid>
        <w:gridCol w:w="9360"/>
      </w:tblGrid>
      <w:tr w:rsidR="0035528C" w14:paraId="7B71A530" w14:textId="77777777" w:rsidTr="00345119">
        <w:tc>
          <w:tcPr>
            <w:tcW w:w="9576" w:type="dxa"/>
          </w:tcPr>
          <w:p w14:paraId="448FC25D" w14:textId="77777777" w:rsidR="008423E4" w:rsidRPr="00A8133F" w:rsidRDefault="00116B0E" w:rsidP="00D36B8E">
            <w:pPr>
              <w:rPr>
                <w:b/>
              </w:rPr>
            </w:pPr>
            <w:r w:rsidRPr="009C1E9A">
              <w:rPr>
                <w:b/>
                <w:u w:val="single"/>
              </w:rPr>
              <w:t>BACKGROUND AND PURPOSE</w:t>
            </w:r>
            <w:r>
              <w:rPr>
                <w:b/>
              </w:rPr>
              <w:t xml:space="preserve"> </w:t>
            </w:r>
          </w:p>
          <w:p w14:paraId="5A203A8E" w14:textId="77777777" w:rsidR="008423E4" w:rsidRDefault="008423E4" w:rsidP="00D36B8E"/>
          <w:p w14:paraId="21735273" w14:textId="3BCCF40C" w:rsidR="008423E4" w:rsidRDefault="00116B0E" w:rsidP="00D36B8E">
            <w:pPr>
              <w:pStyle w:val="Header"/>
              <w:jc w:val="both"/>
            </w:pPr>
            <w:r>
              <w:t>Under current law, the penalty for filing a late interstate allocation or freeport exemption application is equal to 10</w:t>
            </w:r>
            <w:r w:rsidR="00F05FB3">
              <w:t xml:space="preserve"> percent</w:t>
            </w:r>
            <w:r>
              <w:t xml:space="preserve"> of the difference between the tax imposed without the allocation or exemption and the tax imposed with the allocation or exemption. However, the bill sponsor has informed the committee that this calculation can result in absurdly high and unjust penalties</w:t>
            </w:r>
            <w:r w:rsidR="00F05FB3">
              <w:t xml:space="preserve"> and the </w:t>
            </w:r>
            <w:r>
              <w:t>bill sponsor</w:t>
            </w:r>
            <w:r w:rsidR="00F05FB3">
              <w:t xml:space="preserve"> has informed the committee of</w:t>
            </w:r>
            <w:r>
              <w:t xml:space="preserve"> a late allocation application that resulted in approximately a $20,000 tax liability and $1 million penalty. The bill sponsor has further informed the committee that these applications are often f</w:t>
            </w:r>
            <w:r>
              <w:t>iled late because the automatic May 15</w:t>
            </w:r>
            <w:r w:rsidR="008D0A74">
              <w:t xml:space="preserve"> </w:t>
            </w:r>
            <w:r>
              <w:t>extension to file a personal property return</w:t>
            </w:r>
            <w:r w:rsidR="008D0A74">
              <w:t xml:space="preserve">, which is </w:t>
            </w:r>
            <w:r>
              <w:t>granted upon request</w:t>
            </w:r>
            <w:r w:rsidR="008D0A74">
              <w:t>,</w:t>
            </w:r>
            <w:r>
              <w:t xml:space="preserve"> does not apply to the allocation or exemption application forms associated with the property account that receives the extension and that taxpayers must submit a separate request and show good cause to receive </w:t>
            </w:r>
            <w:r w:rsidR="00C11EA2">
              <w:t xml:space="preserve">such </w:t>
            </w:r>
            <w:r>
              <w:t>an extension. S.B. 1352 seeks to</w:t>
            </w:r>
            <w:r w:rsidR="00C11EA2">
              <w:t xml:space="preserve"> address this issue by </w:t>
            </w:r>
            <w:r>
              <w:t>cap</w:t>
            </w:r>
            <w:r w:rsidR="00C11EA2">
              <w:t>ping</w:t>
            </w:r>
            <w:r>
              <w:t xml:space="preserve"> the penalty imposed on late interstate allocation or </w:t>
            </w:r>
            <w:r w:rsidR="008D0A74">
              <w:t>f</w:t>
            </w:r>
            <w:r>
              <w:t>reeport exemption applications at 10</w:t>
            </w:r>
            <w:r w:rsidR="00F05FB3">
              <w:t xml:space="preserve"> percent</w:t>
            </w:r>
            <w:r>
              <w:t xml:space="preserve"> of the tax imposed.</w:t>
            </w:r>
            <w:r>
              <w:t xml:space="preserve"> Furthermore,</w:t>
            </w:r>
            <w:r w:rsidR="00C11EA2">
              <w:t xml:space="preserve"> the bill provides</w:t>
            </w:r>
            <w:r>
              <w:t xml:space="preserve"> an automatic extension to May 15 for filing an interstate allocation or </w:t>
            </w:r>
            <w:r w:rsidR="008D0A74">
              <w:t>f</w:t>
            </w:r>
            <w:r>
              <w:t>reeport exemption allocation if the taxpayer timely requests the May 15 extension to file the personal property return</w:t>
            </w:r>
            <w:r w:rsidR="00C11EA2">
              <w:t>.</w:t>
            </w:r>
          </w:p>
          <w:p w14:paraId="602EB8BA" w14:textId="77777777" w:rsidR="008423E4" w:rsidRPr="00E26B13" w:rsidRDefault="008423E4" w:rsidP="00D36B8E">
            <w:pPr>
              <w:rPr>
                <w:b/>
              </w:rPr>
            </w:pPr>
          </w:p>
        </w:tc>
      </w:tr>
      <w:tr w:rsidR="0035528C" w14:paraId="3AB44EEB" w14:textId="77777777" w:rsidTr="00345119">
        <w:tc>
          <w:tcPr>
            <w:tcW w:w="9576" w:type="dxa"/>
          </w:tcPr>
          <w:p w14:paraId="51DB18AC" w14:textId="77777777" w:rsidR="0017725B" w:rsidRDefault="00116B0E" w:rsidP="00D36B8E">
            <w:pPr>
              <w:rPr>
                <w:b/>
                <w:u w:val="single"/>
              </w:rPr>
            </w:pPr>
            <w:r>
              <w:rPr>
                <w:b/>
                <w:u w:val="single"/>
              </w:rPr>
              <w:t>CRIMINAL JUSTICE IMPACT</w:t>
            </w:r>
          </w:p>
          <w:p w14:paraId="5D4E7099" w14:textId="77777777" w:rsidR="0017725B" w:rsidRDefault="0017725B" w:rsidP="00D36B8E">
            <w:pPr>
              <w:rPr>
                <w:b/>
                <w:u w:val="single"/>
              </w:rPr>
            </w:pPr>
          </w:p>
          <w:p w14:paraId="4100806C" w14:textId="4B4B796A" w:rsidR="00DE5BD4" w:rsidRPr="00DE5BD4" w:rsidRDefault="00116B0E" w:rsidP="00D36B8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598319F" w14:textId="77777777" w:rsidR="0017725B" w:rsidRPr="0017725B" w:rsidRDefault="0017725B" w:rsidP="00D36B8E">
            <w:pPr>
              <w:rPr>
                <w:b/>
                <w:u w:val="single"/>
              </w:rPr>
            </w:pPr>
          </w:p>
        </w:tc>
      </w:tr>
      <w:tr w:rsidR="0035528C" w14:paraId="4E442F1F" w14:textId="77777777" w:rsidTr="00345119">
        <w:tc>
          <w:tcPr>
            <w:tcW w:w="9576" w:type="dxa"/>
          </w:tcPr>
          <w:p w14:paraId="32446304" w14:textId="77777777" w:rsidR="008423E4" w:rsidRPr="00A8133F" w:rsidRDefault="00116B0E" w:rsidP="00D36B8E">
            <w:pPr>
              <w:rPr>
                <w:b/>
              </w:rPr>
            </w:pPr>
            <w:r w:rsidRPr="009C1E9A">
              <w:rPr>
                <w:b/>
                <w:u w:val="single"/>
              </w:rPr>
              <w:t>RULEMAKING AUTHORITY</w:t>
            </w:r>
            <w:r>
              <w:rPr>
                <w:b/>
              </w:rPr>
              <w:t xml:space="preserve"> </w:t>
            </w:r>
          </w:p>
          <w:p w14:paraId="04975B89" w14:textId="77777777" w:rsidR="008423E4" w:rsidRDefault="008423E4" w:rsidP="00D36B8E"/>
          <w:p w14:paraId="3D2F68AF" w14:textId="5ECFE59A" w:rsidR="00DE5BD4" w:rsidRDefault="00116B0E" w:rsidP="00D36B8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2F5E44D" w14:textId="77777777" w:rsidR="008423E4" w:rsidRPr="00E21FDC" w:rsidRDefault="008423E4" w:rsidP="00D36B8E">
            <w:pPr>
              <w:rPr>
                <w:b/>
              </w:rPr>
            </w:pPr>
          </w:p>
        </w:tc>
      </w:tr>
      <w:tr w:rsidR="0035528C" w14:paraId="5C8A0F7E" w14:textId="77777777" w:rsidTr="00345119">
        <w:tc>
          <w:tcPr>
            <w:tcW w:w="9576" w:type="dxa"/>
          </w:tcPr>
          <w:p w14:paraId="28D0873D" w14:textId="77777777" w:rsidR="008423E4" w:rsidRDefault="00116B0E" w:rsidP="00D36B8E">
            <w:pPr>
              <w:rPr>
                <w:b/>
              </w:rPr>
            </w:pPr>
            <w:r w:rsidRPr="009C1E9A">
              <w:rPr>
                <w:b/>
                <w:u w:val="single"/>
              </w:rPr>
              <w:t>ANALYSIS</w:t>
            </w:r>
            <w:r>
              <w:rPr>
                <w:b/>
              </w:rPr>
              <w:t xml:space="preserve"> </w:t>
            </w:r>
          </w:p>
          <w:p w14:paraId="1444FBAA" w14:textId="77777777" w:rsidR="00B941A8" w:rsidRPr="00A8133F" w:rsidRDefault="00B941A8" w:rsidP="00D36B8E">
            <w:pPr>
              <w:rPr>
                <w:b/>
              </w:rPr>
            </w:pPr>
          </w:p>
          <w:p w14:paraId="12A0B382" w14:textId="64B64D6F" w:rsidR="00DE5BD4" w:rsidRPr="00DE5BD4" w:rsidRDefault="00116B0E" w:rsidP="00D36B8E">
            <w:pPr>
              <w:pStyle w:val="Header"/>
              <w:tabs>
                <w:tab w:val="clear" w:pos="4320"/>
                <w:tab w:val="clear" w:pos="8640"/>
              </w:tabs>
              <w:jc w:val="both"/>
              <w:rPr>
                <w:b/>
                <w:bCs/>
              </w:rPr>
            </w:pPr>
            <w:r w:rsidRPr="00DE5BD4">
              <w:rPr>
                <w:b/>
                <w:bCs/>
              </w:rPr>
              <w:t>Application for Freeport Good</w:t>
            </w:r>
            <w:r>
              <w:rPr>
                <w:b/>
                <w:bCs/>
              </w:rPr>
              <w:t>s</w:t>
            </w:r>
            <w:r w:rsidRPr="00DE5BD4">
              <w:rPr>
                <w:b/>
                <w:bCs/>
              </w:rPr>
              <w:t xml:space="preserve"> Exemption</w:t>
            </w:r>
          </w:p>
          <w:p w14:paraId="1055F12A" w14:textId="77777777" w:rsidR="00DE5BD4" w:rsidRDefault="00DE5BD4" w:rsidP="00D36B8E">
            <w:pPr>
              <w:pStyle w:val="Header"/>
              <w:tabs>
                <w:tab w:val="clear" w:pos="4320"/>
                <w:tab w:val="clear" w:pos="8640"/>
              </w:tabs>
              <w:jc w:val="both"/>
            </w:pPr>
          </w:p>
          <w:p w14:paraId="73A4AB4A" w14:textId="18F98103" w:rsidR="00DE5BD4" w:rsidRDefault="00116B0E" w:rsidP="00D36B8E">
            <w:pPr>
              <w:pStyle w:val="Header"/>
              <w:tabs>
                <w:tab w:val="clear" w:pos="4320"/>
                <w:tab w:val="clear" w:pos="8640"/>
              </w:tabs>
              <w:jc w:val="both"/>
            </w:pPr>
            <w:r>
              <w:t xml:space="preserve">S.B. 1352 amends the Tax Code to </w:t>
            </w:r>
            <w:r w:rsidR="00384F60">
              <w:t>require</w:t>
            </w:r>
            <w:r w:rsidR="00384F60" w:rsidRPr="00384F60">
              <w:t xml:space="preserve"> </w:t>
            </w:r>
            <w:r w:rsidR="00384F60">
              <w:t>a</w:t>
            </w:r>
            <w:r w:rsidR="00384F60" w:rsidRPr="00384F60">
              <w:t xml:space="preserve"> chief appraiser </w:t>
            </w:r>
            <w:r w:rsidR="00384F60">
              <w:t xml:space="preserve">that </w:t>
            </w:r>
            <w:r w:rsidR="00384F60" w:rsidRPr="00384F60">
              <w:t xml:space="preserve">extends the deadline for a property owner to file a rendition statement or property report to May 15, </w:t>
            </w:r>
            <w:r w:rsidR="00384F60">
              <w:t>to</w:t>
            </w:r>
            <w:r w:rsidR="00384F60" w:rsidRPr="00384F60">
              <w:t xml:space="preserve"> also extend the deadline for the property owner to file an application for a</w:t>
            </w:r>
            <w:r w:rsidR="00384F60">
              <w:t xml:space="preserve"> </w:t>
            </w:r>
            <w:r w:rsidR="00384F60" w:rsidRPr="00384F60">
              <w:t xml:space="preserve">property </w:t>
            </w:r>
            <w:r w:rsidR="00384F60">
              <w:t xml:space="preserve">tax </w:t>
            </w:r>
            <w:r w:rsidR="00384F60" w:rsidRPr="00384F60">
              <w:t>exemption</w:t>
            </w:r>
            <w:r w:rsidR="00384F60">
              <w:t xml:space="preserve"> for freeport goods</w:t>
            </w:r>
            <w:r w:rsidR="00384F60" w:rsidRPr="00384F60">
              <w:t xml:space="preserve"> to May 15. </w:t>
            </w:r>
            <w:r w:rsidR="00384F60">
              <w:t>The bill authorizes the chief appraiser, f</w:t>
            </w:r>
            <w:r w:rsidR="00384F60" w:rsidRPr="00384F60">
              <w:t xml:space="preserve">or good cause shown, </w:t>
            </w:r>
            <w:r w:rsidR="00384F60">
              <w:t>to</w:t>
            </w:r>
            <w:r w:rsidR="00384F60" w:rsidRPr="00384F60">
              <w:t xml:space="preserve"> further extend the deadline for filing </w:t>
            </w:r>
            <w:r w:rsidR="00F153D4">
              <w:t>the</w:t>
            </w:r>
            <w:r w:rsidR="00384F60" w:rsidRPr="00384F60">
              <w:t xml:space="preserve"> exemption application by written order for a single period not to exceed 60 days from the </w:t>
            </w:r>
            <w:r w:rsidR="006122D7">
              <w:t xml:space="preserve">filing </w:t>
            </w:r>
            <w:r w:rsidR="00384F60" w:rsidRPr="00384F60">
              <w:t xml:space="preserve">deadline prescribed </w:t>
            </w:r>
            <w:r w:rsidR="00384F60">
              <w:t xml:space="preserve">under state law of </w:t>
            </w:r>
            <w:r w:rsidR="008453CC">
              <w:t>May</w:t>
            </w:r>
            <w:r w:rsidR="00384F60">
              <w:t xml:space="preserve"> </w:t>
            </w:r>
            <w:r w:rsidR="008453CC">
              <w:t>1</w:t>
            </w:r>
            <w:r w:rsidR="00384F60">
              <w:t xml:space="preserve">. </w:t>
            </w:r>
            <w:r>
              <w:t>The bill revises provision</w:t>
            </w:r>
            <w:r w:rsidR="00B941A8">
              <w:t>s</w:t>
            </w:r>
            <w:r>
              <w:t xml:space="preserve"> relating to the penalty for which a</w:t>
            </w:r>
            <w:r w:rsidR="008453CC">
              <w:t xml:space="preserve"> </w:t>
            </w:r>
            <w:r>
              <w:t xml:space="preserve">property owner </w:t>
            </w:r>
            <w:r w:rsidR="008453CC">
              <w:t xml:space="preserve">who files a </w:t>
            </w:r>
            <w:r w:rsidR="008453CC" w:rsidRPr="008453CC">
              <w:t xml:space="preserve">late application for a freeport exemption </w:t>
            </w:r>
            <w:r>
              <w:t xml:space="preserve">is liable to each </w:t>
            </w:r>
            <w:r w:rsidRPr="00366A36">
              <w:t>taxing uni</w:t>
            </w:r>
            <w:r>
              <w:t xml:space="preserve">t if </w:t>
            </w:r>
            <w:r w:rsidR="008453CC">
              <w:t>the</w:t>
            </w:r>
            <w:r>
              <w:t xml:space="preserve"> late application is approved as follows:</w:t>
            </w:r>
          </w:p>
          <w:p w14:paraId="22F0E5D0" w14:textId="40BB56C9" w:rsidR="00DE5BD4" w:rsidRDefault="00116B0E" w:rsidP="00D36B8E">
            <w:pPr>
              <w:pStyle w:val="Header"/>
              <w:numPr>
                <w:ilvl w:val="0"/>
                <w:numId w:val="1"/>
              </w:numPr>
              <w:tabs>
                <w:tab w:val="clear" w:pos="4320"/>
                <w:tab w:val="clear" w:pos="8640"/>
              </w:tabs>
              <w:jc w:val="both"/>
            </w:pPr>
            <w:r>
              <w:t xml:space="preserve">clarifies that the </w:t>
            </w:r>
            <w:r w:rsidR="006122D7">
              <w:t xml:space="preserve">taxing unit to which the </w:t>
            </w:r>
            <w:r>
              <w:t>property owner is liable</w:t>
            </w:r>
            <w:r w:rsidR="006122D7">
              <w:t xml:space="preserve"> is</w:t>
            </w:r>
            <w:r>
              <w:t xml:space="preserve"> each taxing unit allowing the exemption; </w:t>
            </w:r>
          </w:p>
          <w:p w14:paraId="59EC63A5" w14:textId="167EE780" w:rsidR="009867CF" w:rsidRDefault="00116B0E" w:rsidP="00D36B8E">
            <w:pPr>
              <w:pStyle w:val="Header"/>
              <w:numPr>
                <w:ilvl w:val="0"/>
                <w:numId w:val="1"/>
              </w:numPr>
              <w:tabs>
                <w:tab w:val="clear" w:pos="4320"/>
                <w:tab w:val="clear" w:pos="8640"/>
              </w:tabs>
              <w:jc w:val="both"/>
            </w:pPr>
            <w:r>
              <w:t xml:space="preserve">authorizes </w:t>
            </w:r>
            <w:r w:rsidR="00DE5BD4">
              <w:t>the amount of the penalty</w:t>
            </w:r>
            <w:r>
              <w:t xml:space="preserve"> to be equal to</w:t>
            </w:r>
            <w:r w:rsidR="00DE5BD4">
              <w:t xml:space="preserve"> </w:t>
            </w:r>
            <w:r w:rsidRPr="00DE5BD4">
              <w:t>10 percent of the amount of tax imposed by the taxing unit on the inventory or property, a portion of which consists of freeport goods</w:t>
            </w:r>
            <w:r w:rsidR="00B53F22">
              <w:t>,</w:t>
            </w:r>
            <w:r>
              <w:t xml:space="preserve"> as an alternative to an amount equal to</w:t>
            </w:r>
            <w:r w:rsidR="00DE5BD4">
              <w:t xml:space="preserve"> </w:t>
            </w:r>
            <w:r w:rsidR="00DE5BD4" w:rsidRPr="00DE5BD4">
              <w:t>10 percent of the difference between the amount of tax imposed by the taxing unit on the inventory or property, a portion of which consists of freeport goods, and the amount that would otherwise have been imposed</w:t>
            </w:r>
            <w:r>
              <w:t>; and</w:t>
            </w:r>
          </w:p>
          <w:p w14:paraId="513926B9" w14:textId="25893D3F" w:rsidR="00DE5BD4" w:rsidRDefault="00116B0E" w:rsidP="00D36B8E">
            <w:pPr>
              <w:pStyle w:val="Header"/>
              <w:numPr>
                <w:ilvl w:val="0"/>
                <w:numId w:val="1"/>
              </w:numPr>
              <w:tabs>
                <w:tab w:val="clear" w:pos="4320"/>
                <w:tab w:val="clear" w:pos="8640"/>
              </w:tabs>
              <w:jc w:val="both"/>
            </w:pPr>
            <w:r>
              <w:t xml:space="preserve">specifies that the liability to each taxing unit </w:t>
            </w:r>
            <w:r w:rsidR="00E162E1">
              <w:t>is</w:t>
            </w:r>
            <w:r>
              <w:t xml:space="preserve"> an amount equal to the less</w:t>
            </w:r>
            <w:r w:rsidR="00AE5209">
              <w:t>e</w:t>
            </w:r>
            <w:r>
              <w:t xml:space="preserve">r of </w:t>
            </w:r>
            <w:r w:rsidR="00E162E1">
              <w:t>either such</w:t>
            </w:r>
            <w:r>
              <w:t xml:space="preserve"> </w:t>
            </w:r>
            <w:r w:rsidR="00E162E1">
              <w:t>amounts</w:t>
            </w:r>
            <w:r>
              <w:t>.</w:t>
            </w:r>
          </w:p>
          <w:p w14:paraId="5225BD07" w14:textId="632E4BFF" w:rsidR="00DE5BD4" w:rsidRDefault="00116B0E" w:rsidP="00D36B8E">
            <w:pPr>
              <w:pStyle w:val="Header"/>
              <w:tabs>
                <w:tab w:val="clear" w:pos="4320"/>
                <w:tab w:val="clear" w:pos="8640"/>
              </w:tabs>
              <w:jc w:val="both"/>
            </w:pPr>
            <w:r>
              <w:t xml:space="preserve">These provisions </w:t>
            </w:r>
            <w:r w:rsidRPr="00B941A8">
              <w:t xml:space="preserve">apply only to an application for an exemption for freeport goods filed on or after the </w:t>
            </w:r>
            <w:r>
              <w:t xml:space="preserve">bill's </w:t>
            </w:r>
            <w:r w:rsidRPr="00B941A8">
              <w:t>effective date</w:t>
            </w:r>
            <w:r>
              <w:t>.</w:t>
            </w:r>
          </w:p>
          <w:p w14:paraId="5324986E" w14:textId="77777777" w:rsidR="00384F60" w:rsidRDefault="00384F60" w:rsidP="00D36B8E">
            <w:pPr>
              <w:pStyle w:val="Header"/>
              <w:tabs>
                <w:tab w:val="clear" w:pos="4320"/>
                <w:tab w:val="clear" w:pos="8640"/>
              </w:tabs>
              <w:jc w:val="both"/>
            </w:pPr>
          </w:p>
          <w:p w14:paraId="5506C0A4" w14:textId="1A358541" w:rsidR="00DE5BD4" w:rsidRPr="00DE5BD4" w:rsidRDefault="00116B0E" w:rsidP="00D36B8E">
            <w:pPr>
              <w:pStyle w:val="Header"/>
              <w:tabs>
                <w:tab w:val="clear" w:pos="4320"/>
                <w:tab w:val="clear" w:pos="8640"/>
              </w:tabs>
              <w:jc w:val="both"/>
              <w:rPr>
                <w:b/>
                <w:bCs/>
              </w:rPr>
            </w:pPr>
            <w:r w:rsidRPr="00DE5BD4">
              <w:rPr>
                <w:b/>
                <w:bCs/>
              </w:rPr>
              <w:t>Application for Allocation</w:t>
            </w:r>
          </w:p>
          <w:p w14:paraId="189E44C1" w14:textId="77777777" w:rsidR="00DE5BD4" w:rsidRDefault="00DE5BD4" w:rsidP="00D36B8E">
            <w:pPr>
              <w:pStyle w:val="Header"/>
              <w:tabs>
                <w:tab w:val="clear" w:pos="4320"/>
                <w:tab w:val="clear" w:pos="8640"/>
              </w:tabs>
              <w:jc w:val="both"/>
            </w:pPr>
          </w:p>
          <w:p w14:paraId="62B5D898" w14:textId="1CFF4F9D" w:rsidR="00E162E1" w:rsidRDefault="00116B0E" w:rsidP="00D36B8E">
            <w:pPr>
              <w:jc w:val="both"/>
            </w:pPr>
            <w:r>
              <w:t>S.B. 1352</w:t>
            </w:r>
            <w:r w:rsidR="00384F60">
              <w:t xml:space="preserve"> requires</w:t>
            </w:r>
            <w:r w:rsidR="00384F60" w:rsidRPr="00384F60">
              <w:t xml:space="preserve"> </w:t>
            </w:r>
            <w:r w:rsidR="00384F60">
              <w:t>a</w:t>
            </w:r>
            <w:r w:rsidR="00384F60" w:rsidRPr="00384F60">
              <w:t xml:space="preserve"> chief appraiser </w:t>
            </w:r>
            <w:r w:rsidR="00384F60">
              <w:t xml:space="preserve">that </w:t>
            </w:r>
            <w:r w:rsidR="00384F60" w:rsidRPr="00384F60">
              <w:t xml:space="preserve">extends the deadline for a property owner to file a rendition statement or property report to May 15 </w:t>
            </w:r>
            <w:r w:rsidR="007F73E1">
              <w:t>to</w:t>
            </w:r>
            <w:r w:rsidR="00384F60" w:rsidRPr="00384F60">
              <w:t xml:space="preserve"> also extend the deadline for the property owner to file an allocation application form to May 15. </w:t>
            </w:r>
            <w:r w:rsidR="000C1AB3">
              <w:t>The bill requires the chief appraiser, f</w:t>
            </w:r>
            <w:r w:rsidR="00384F60" w:rsidRPr="00384F60">
              <w:t xml:space="preserve">or good cause shown, </w:t>
            </w:r>
            <w:r w:rsidR="000C1AB3">
              <w:t>to</w:t>
            </w:r>
            <w:r w:rsidR="00384F60" w:rsidRPr="00384F60">
              <w:t xml:space="preserve"> further extend the deadline for filing </w:t>
            </w:r>
            <w:r w:rsidR="00F153D4">
              <w:t>the</w:t>
            </w:r>
            <w:r w:rsidR="00384F60" w:rsidRPr="00384F60">
              <w:t xml:space="preserve"> allocation application form by written order for a period not to exceed 30 days from the</w:t>
            </w:r>
            <w:r w:rsidR="008D0A74">
              <w:t xml:space="preserve"> May 1 </w:t>
            </w:r>
            <w:r w:rsidR="006122D7">
              <w:t xml:space="preserve">filing </w:t>
            </w:r>
            <w:r w:rsidR="00384F60" w:rsidRPr="00384F60">
              <w:t xml:space="preserve">deadline </w:t>
            </w:r>
            <w:r w:rsidR="008D0A74">
              <w:t xml:space="preserve">as </w:t>
            </w:r>
            <w:r w:rsidR="00384F60" w:rsidRPr="00384F60">
              <w:t xml:space="preserve">prescribed </w:t>
            </w:r>
            <w:r w:rsidR="007F73E1">
              <w:t>under state law.</w:t>
            </w:r>
            <w:r>
              <w:t xml:space="preserve"> </w:t>
            </w:r>
          </w:p>
          <w:p w14:paraId="7735CF84" w14:textId="77777777" w:rsidR="00E162E1" w:rsidRDefault="00E162E1" w:rsidP="00D36B8E">
            <w:pPr>
              <w:jc w:val="both"/>
            </w:pPr>
          </w:p>
          <w:p w14:paraId="2D84B977" w14:textId="0C095C9E" w:rsidR="00384F60" w:rsidRPr="009C36CD" w:rsidRDefault="00116B0E" w:rsidP="00D36B8E">
            <w:pPr>
              <w:jc w:val="both"/>
            </w:pPr>
            <w:r>
              <w:t xml:space="preserve">S.B. 1352 </w:t>
            </w:r>
            <w:r w:rsidR="00366A36">
              <w:t>revise</w:t>
            </w:r>
            <w:r w:rsidR="00EC7983">
              <w:t>s</w:t>
            </w:r>
            <w:r>
              <w:t xml:space="preserve"> the</w:t>
            </w:r>
            <w:r w:rsidR="00366A36">
              <w:t xml:space="preserve"> provision</w:t>
            </w:r>
            <w:r w:rsidR="00B941A8">
              <w:t>s</w:t>
            </w:r>
            <w:r w:rsidR="00366A36">
              <w:t xml:space="preserve"> relating to the penalty for which a</w:t>
            </w:r>
            <w:r w:rsidR="006122D7">
              <w:t xml:space="preserve"> </w:t>
            </w:r>
            <w:r w:rsidR="00366A36">
              <w:t>property</w:t>
            </w:r>
            <w:r w:rsidR="006122D7">
              <w:t xml:space="preserve"> owner who files a late application for allocation</w:t>
            </w:r>
            <w:r w:rsidR="00366A36">
              <w:t xml:space="preserve"> is liable to each </w:t>
            </w:r>
            <w:r w:rsidR="00366A36" w:rsidRPr="00366A36">
              <w:t>taxing uni</w:t>
            </w:r>
            <w:r w:rsidR="00EC7983">
              <w:t xml:space="preserve">t if </w:t>
            </w:r>
            <w:r w:rsidR="006122D7">
              <w:t xml:space="preserve">the </w:t>
            </w:r>
            <w:r w:rsidR="00EC7983">
              <w:t xml:space="preserve">late application is approved </w:t>
            </w:r>
            <w:r w:rsidR="00DE5BD4">
              <w:t xml:space="preserve">by </w:t>
            </w:r>
            <w:r>
              <w:t xml:space="preserve">authorizing </w:t>
            </w:r>
            <w:r w:rsidR="00DE5BD4">
              <w:t xml:space="preserve">the amount of the penalty </w:t>
            </w:r>
            <w:r>
              <w:t xml:space="preserve">to be </w:t>
            </w:r>
            <w:r w:rsidRPr="00DE5BD4">
              <w:t>10 percent of the amount of tax imposed by the taxing unit on the property with the allocation</w:t>
            </w:r>
            <w:r>
              <w:t xml:space="preserve"> as an alternative to an amount equal to</w:t>
            </w:r>
            <w:r w:rsidR="00DE5BD4">
              <w:t xml:space="preserve"> </w:t>
            </w:r>
            <w:r w:rsidR="00DE5BD4" w:rsidRPr="00DE5BD4">
              <w:t>10 percent of the difference between the amount of tax imposed by the taxing unit on the property without the allocation and the amount of tax imposed on the property with the allocation</w:t>
            </w:r>
            <w:r>
              <w:t>. The bill specifies that</w:t>
            </w:r>
            <w:r w:rsidRPr="00E162E1">
              <w:t xml:space="preserve"> the liability to each taxing unit is an amount equal to the less</w:t>
            </w:r>
            <w:r w:rsidR="00B53F22">
              <w:t>e</w:t>
            </w:r>
            <w:r w:rsidRPr="00E162E1">
              <w:t>r of either such amoun</w:t>
            </w:r>
            <w:r>
              <w:t>ts</w:t>
            </w:r>
            <w:r>
              <w:t xml:space="preserve">. </w:t>
            </w:r>
            <w:r w:rsidR="00DE5BD4">
              <w:t xml:space="preserve">These provisions </w:t>
            </w:r>
            <w:r w:rsidR="00DE5BD4" w:rsidRPr="00DE5BD4">
              <w:t xml:space="preserve">apply only to an application for an allocation filed on or after the </w:t>
            </w:r>
            <w:r w:rsidR="00DE5BD4">
              <w:t xml:space="preserve">bill's </w:t>
            </w:r>
            <w:r w:rsidR="00DE5BD4" w:rsidRPr="00DE5BD4">
              <w:t>effective date.</w:t>
            </w:r>
          </w:p>
          <w:p w14:paraId="5998F8B5" w14:textId="77777777" w:rsidR="008423E4" w:rsidRPr="00835628" w:rsidRDefault="008423E4" w:rsidP="00D36B8E">
            <w:pPr>
              <w:rPr>
                <w:b/>
              </w:rPr>
            </w:pPr>
          </w:p>
        </w:tc>
      </w:tr>
      <w:tr w:rsidR="0035528C" w14:paraId="103A8D59" w14:textId="77777777" w:rsidTr="00345119">
        <w:tc>
          <w:tcPr>
            <w:tcW w:w="9576" w:type="dxa"/>
          </w:tcPr>
          <w:p w14:paraId="37814983" w14:textId="77777777" w:rsidR="008423E4" w:rsidRPr="00A8133F" w:rsidRDefault="00116B0E" w:rsidP="00D36B8E">
            <w:pPr>
              <w:rPr>
                <w:b/>
              </w:rPr>
            </w:pPr>
            <w:r w:rsidRPr="009C1E9A">
              <w:rPr>
                <w:b/>
                <w:u w:val="single"/>
              </w:rPr>
              <w:t>EFFECTIVE DATE</w:t>
            </w:r>
            <w:r>
              <w:rPr>
                <w:b/>
              </w:rPr>
              <w:t xml:space="preserve"> </w:t>
            </w:r>
          </w:p>
          <w:p w14:paraId="75EE0047" w14:textId="77777777" w:rsidR="008423E4" w:rsidRDefault="008423E4" w:rsidP="00D36B8E"/>
          <w:p w14:paraId="468D8DE4" w14:textId="735DB13F" w:rsidR="008423E4" w:rsidRPr="003624F2" w:rsidRDefault="00116B0E" w:rsidP="00D36B8E">
            <w:pPr>
              <w:pStyle w:val="Header"/>
              <w:tabs>
                <w:tab w:val="clear" w:pos="4320"/>
                <w:tab w:val="clear" w:pos="8640"/>
              </w:tabs>
              <w:jc w:val="both"/>
            </w:pPr>
            <w:r>
              <w:t>September 1, 2025.</w:t>
            </w:r>
          </w:p>
          <w:p w14:paraId="3F894576" w14:textId="77777777" w:rsidR="008423E4" w:rsidRPr="00233FDB" w:rsidRDefault="008423E4" w:rsidP="00D36B8E">
            <w:pPr>
              <w:rPr>
                <w:b/>
              </w:rPr>
            </w:pPr>
          </w:p>
        </w:tc>
      </w:tr>
    </w:tbl>
    <w:p w14:paraId="314D3BC4" w14:textId="77777777" w:rsidR="008423E4" w:rsidRPr="00BE0E75" w:rsidRDefault="008423E4" w:rsidP="00D36B8E">
      <w:pPr>
        <w:jc w:val="both"/>
        <w:rPr>
          <w:rFonts w:ascii="Arial" w:hAnsi="Arial"/>
          <w:sz w:val="16"/>
          <w:szCs w:val="16"/>
        </w:rPr>
      </w:pPr>
    </w:p>
    <w:p w14:paraId="7AFA9D06" w14:textId="77777777" w:rsidR="004108C3" w:rsidRPr="008423E4" w:rsidRDefault="004108C3" w:rsidP="00D36B8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9099" w14:textId="77777777" w:rsidR="00116B0E" w:rsidRDefault="00116B0E">
      <w:r>
        <w:separator/>
      </w:r>
    </w:p>
  </w:endnote>
  <w:endnote w:type="continuationSeparator" w:id="0">
    <w:p w14:paraId="3DD51720" w14:textId="77777777" w:rsidR="00116B0E" w:rsidRDefault="0011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C8EA"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5528C" w14:paraId="424148EA" w14:textId="77777777" w:rsidTr="009C1E9A">
      <w:trPr>
        <w:cantSplit/>
      </w:trPr>
      <w:tc>
        <w:tcPr>
          <w:tcW w:w="0" w:type="pct"/>
        </w:tcPr>
        <w:p w14:paraId="5B001828" w14:textId="77777777" w:rsidR="00137D90" w:rsidRDefault="00137D90" w:rsidP="009C1E9A">
          <w:pPr>
            <w:pStyle w:val="Footer"/>
            <w:tabs>
              <w:tab w:val="clear" w:pos="8640"/>
              <w:tab w:val="right" w:pos="9360"/>
            </w:tabs>
          </w:pPr>
        </w:p>
      </w:tc>
      <w:tc>
        <w:tcPr>
          <w:tcW w:w="2395" w:type="pct"/>
        </w:tcPr>
        <w:p w14:paraId="2DAB90E5" w14:textId="77777777" w:rsidR="00137D90" w:rsidRDefault="00137D90" w:rsidP="009C1E9A">
          <w:pPr>
            <w:pStyle w:val="Footer"/>
            <w:tabs>
              <w:tab w:val="clear" w:pos="8640"/>
              <w:tab w:val="right" w:pos="9360"/>
            </w:tabs>
          </w:pPr>
        </w:p>
        <w:p w14:paraId="29E27D48" w14:textId="77777777" w:rsidR="001A4310" w:rsidRDefault="001A4310" w:rsidP="009C1E9A">
          <w:pPr>
            <w:pStyle w:val="Footer"/>
            <w:tabs>
              <w:tab w:val="clear" w:pos="8640"/>
              <w:tab w:val="right" w:pos="9360"/>
            </w:tabs>
          </w:pPr>
        </w:p>
        <w:p w14:paraId="70ECEFB2" w14:textId="77777777" w:rsidR="00137D90" w:rsidRDefault="00137D90" w:rsidP="009C1E9A">
          <w:pPr>
            <w:pStyle w:val="Footer"/>
            <w:tabs>
              <w:tab w:val="clear" w:pos="8640"/>
              <w:tab w:val="right" w:pos="9360"/>
            </w:tabs>
          </w:pPr>
        </w:p>
      </w:tc>
      <w:tc>
        <w:tcPr>
          <w:tcW w:w="2453" w:type="pct"/>
        </w:tcPr>
        <w:p w14:paraId="4CB476E0" w14:textId="77777777" w:rsidR="00137D90" w:rsidRDefault="00137D90" w:rsidP="009C1E9A">
          <w:pPr>
            <w:pStyle w:val="Footer"/>
            <w:tabs>
              <w:tab w:val="clear" w:pos="8640"/>
              <w:tab w:val="right" w:pos="9360"/>
            </w:tabs>
            <w:jc w:val="right"/>
          </w:pPr>
        </w:p>
      </w:tc>
    </w:tr>
    <w:tr w:rsidR="0035528C" w14:paraId="4BF2D820" w14:textId="77777777" w:rsidTr="009C1E9A">
      <w:trPr>
        <w:cantSplit/>
      </w:trPr>
      <w:tc>
        <w:tcPr>
          <w:tcW w:w="0" w:type="pct"/>
        </w:tcPr>
        <w:p w14:paraId="5D97152B" w14:textId="77777777" w:rsidR="00EC379B" w:rsidRDefault="00EC379B" w:rsidP="009C1E9A">
          <w:pPr>
            <w:pStyle w:val="Footer"/>
            <w:tabs>
              <w:tab w:val="clear" w:pos="8640"/>
              <w:tab w:val="right" w:pos="9360"/>
            </w:tabs>
          </w:pPr>
        </w:p>
      </w:tc>
      <w:tc>
        <w:tcPr>
          <w:tcW w:w="2395" w:type="pct"/>
        </w:tcPr>
        <w:p w14:paraId="0813FC80" w14:textId="09049770" w:rsidR="00EC379B" w:rsidRPr="009C1E9A" w:rsidRDefault="00116B0E" w:rsidP="009C1E9A">
          <w:pPr>
            <w:pStyle w:val="Footer"/>
            <w:tabs>
              <w:tab w:val="clear" w:pos="8640"/>
              <w:tab w:val="right" w:pos="9360"/>
            </w:tabs>
            <w:rPr>
              <w:rFonts w:ascii="Shruti" w:hAnsi="Shruti"/>
              <w:sz w:val="22"/>
            </w:rPr>
          </w:pPr>
          <w:r>
            <w:rPr>
              <w:rFonts w:ascii="Shruti" w:hAnsi="Shruti"/>
              <w:sz w:val="22"/>
            </w:rPr>
            <w:t>89R 31112-D</w:t>
          </w:r>
        </w:p>
      </w:tc>
      <w:tc>
        <w:tcPr>
          <w:tcW w:w="2453" w:type="pct"/>
        </w:tcPr>
        <w:p w14:paraId="01CA60DE" w14:textId="5DDC1FB1" w:rsidR="00EC379B" w:rsidRDefault="00116B0E" w:rsidP="009C1E9A">
          <w:pPr>
            <w:pStyle w:val="Footer"/>
            <w:tabs>
              <w:tab w:val="clear" w:pos="8640"/>
              <w:tab w:val="right" w:pos="9360"/>
            </w:tabs>
            <w:jc w:val="right"/>
          </w:pPr>
          <w:r>
            <w:fldChar w:fldCharType="begin"/>
          </w:r>
          <w:r>
            <w:instrText xml:space="preserve"> DOCPROPERTY  OTID  \* MERGEFORMAT </w:instrText>
          </w:r>
          <w:r>
            <w:fldChar w:fldCharType="separate"/>
          </w:r>
          <w:r w:rsidR="00236D73">
            <w:t>25.136.39</w:t>
          </w:r>
          <w:r>
            <w:fldChar w:fldCharType="end"/>
          </w:r>
        </w:p>
      </w:tc>
    </w:tr>
    <w:tr w:rsidR="0035528C" w14:paraId="7E29B8E0" w14:textId="77777777" w:rsidTr="009C1E9A">
      <w:trPr>
        <w:cantSplit/>
      </w:trPr>
      <w:tc>
        <w:tcPr>
          <w:tcW w:w="0" w:type="pct"/>
        </w:tcPr>
        <w:p w14:paraId="3E5A154D" w14:textId="77777777" w:rsidR="00EC379B" w:rsidRDefault="00EC379B" w:rsidP="009C1E9A">
          <w:pPr>
            <w:pStyle w:val="Footer"/>
            <w:tabs>
              <w:tab w:val="clear" w:pos="4320"/>
              <w:tab w:val="clear" w:pos="8640"/>
              <w:tab w:val="left" w:pos="2865"/>
            </w:tabs>
          </w:pPr>
        </w:p>
      </w:tc>
      <w:tc>
        <w:tcPr>
          <w:tcW w:w="2395" w:type="pct"/>
        </w:tcPr>
        <w:p w14:paraId="20EFF501"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096EC86" w14:textId="77777777" w:rsidR="00EC379B" w:rsidRDefault="00EC379B" w:rsidP="006D504F">
          <w:pPr>
            <w:pStyle w:val="Footer"/>
            <w:rPr>
              <w:rStyle w:val="PageNumber"/>
            </w:rPr>
          </w:pPr>
        </w:p>
        <w:p w14:paraId="28FC9D42" w14:textId="77777777" w:rsidR="00EC379B" w:rsidRDefault="00EC379B" w:rsidP="009C1E9A">
          <w:pPr>
            <w:pStyle w:val="Footer"/>
            <w:tabs>
              <w:tab w:val="clear" w:pos="8640"/>
              <w:tab w:val="right" w:pos="9360"/>
            </w:tabs>
            <w:jc w:val="right"/>
          </w:pPr>
        </w:p>
      </w:tc>
    </w:tr>
    <w:tr w:rsidR="0035528C" w14:paraId="35221FF8" w14:textId="77777777" w:rsidTr="009C1E9A">
      <w:trPr>
        <w:cantSplit/>
        <w:trHeight w:val="323"/>
      </w:trPr>
      <w:tc>
        <w:tcPr>
          <w:tcW w:w="0" w:type="pct"/>
          <w:gridSpan w:val="3"/>
        </w:tcPr>
        <w:p w14:paraId="21A669A8" w14:textId="77777777" w:rsidR="00EC379B" w:rsidRDefault="00116B0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8300450" w14:textId="77777777" w:rsidR="00EC379B" w:rsidRDefault="00EC379B" w:rsidP="009C1E9A">
          <w:pPr>
            <w:pStyle w:val="Footer"/>
            <w:tabs>
              <w:tab w:val="clear" w:pos="8640"/>
              <w:tab w:val="right" w:pos="9360"/>
            </w:tabs>
            <w:jc w:val="center"/>
          </w:pPr>
        </w:p>
      </w:tc>
    </w:tr>
  </w:tbl>
  <w:p w14:paraId="79313BB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0F5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29BD" w14:textId="77777777" w:rsidR="00116B0E" w:rsidRDefault="00116B0E">
      <w:r>
        <w:separator/>
      </w:r>
    </w:p>
  </w:footnote>
  <w:footnote w:type="continuationSeparator" w:id="0">
    <w:p w14:paraId="123A3ED4" w14:textId="77777777" w:rsidR="00116B0E" w:rsidRDefault="00116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1F2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B1F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A5E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25C4"/>
    <w:multiLevelType w:val="hybridMultilevel"/>
    <w:tmpl w:val="FFEEFB14"/>
    <w:lvl w:ilvl="0" w:tplc="A168923A">
      <w:start w:val="1"/>
      <w:numFmt w:val="bullet"/>
      <w:lvlText w:val=""/>
      <w:lvlJc w:val="left"/>
      <w:pPr>
        <w:tabs>
          <w:tab w:val="num" w:pos="720"/>
        </w:tabs>
        <w:ind w:left="720" w:hanging="360"/>
      </w:pPr>
      <w:rPr>
        <w:rFonts w:ascii="Symbol" w:hAnsi="Symbol" w:hint="default"/>
      </w:rPr>
    </w:lvl>
    <w:lvl w:ilvl="1" w:tplc="24007FD4" w:tentative="1">
      <w:start w:val="1"/>
      <w:numFmt w:val="bullet"/>
      <w:lvlText w:val="o"/>
      <w:lvlJc w:val="left"/>
      <w:pPr>
        <w:ind w:left="1440" w:hanging="360"/>
      </w:pPr>
      <w:rPr>
        <w:rFonts w:ascii="Courier New" w:hAnsi="Courier New" w:cs="Courier New" w:hint="default"/>
      </w:rPr>
    </w:lvl>
    <w:lvl w:ilvl="2" w:tplc="70DE60F4" w:tentative="1">
      <w:start w:val="1"/>
      <w:numFmt w:val="bullet"/>
      <w:lvlText w:val=""/>
      <w:lvlJc w:val="left"/>
      <w:pPr>
        <w:ind w:left="2160" w:hanging="360"/>
      </w:pPr>
      <w:rPr>
        <w:rFonts w:ascii="Wingdings" w:hAnsi="Wingdings" w:hint="default"/>
      </w:rPr>
    </w:lvl>
    <w:lvl w:ilvl="3" w:tplc="C582A924" w:tentative="1">
      <w:start w:val="1"/>
      <w:numFmt w:val="bullet"/>
      <w:lvlText w:val=""/>
      <w:lvlJc w:val="left"/>
      <w:pPr>
        <w:ind w:left="2880" w:hanging="360"/>
      </w:pPr>
      <w:rPr>
        <w:rFonts w:ascii="Symbol" w:hAnsi="Symbol" w:hint="default"/>
      </w:rPr>
    </w:lvl>
    <w:lvl w:ilvl="4" w:tplc="3FE253C0" w:tentative="1">
      <w:start w:val="1"/>
      <w:numFmt w:val="bullet"/>
      <w:lvlText w:val="o"/>
      <w:lvlJc w:val="left"/>
      <w:pPr>
        <w:ind w:left="3600" w:hanging="360"/>
      </w:pPr>
      <w:rPr>
        <w:rFonts w:ascii="Courier New" w:hAnsi="Courier New" w:cs="Courier New" w:hint="default"/>
      </w:rPr>
    </w:lvl>
    <w:lvl w:ilvl="5" w:tplc="70BAF358" w:tentative="1">
      <w:start w:val="1"/>
      <w:numFmt w:val="bullet"/>
      <w:lvlText w:val=""/>
      <w:lvlJc w:val="left"/>
      <w:pPr>
        <w:ind w:left="4320" w:hanging="360"/>
      </w:pPr>
      <w:rPr>
        <w:rFonts w:ascii="Wingdings" w:hAnsi="Wingdings" w:hint="default"/>
      </w:rPr>
    </w:lvl>
    <w:lvl w:ilvl="6" w:tplc="3C12F606" w:tentative="1">
      <w:start w:val="1"/>
      <w:numFmt w:val="bullet"/>
      <w:lvlText w:val=""/>
      <w:lvlJc w:val="left"/>
      <w:pPr>
        <w:ind w:left="5040" w:hanging="360"/>
      </w:pPr>
      <w:rPr>
        <w:rFonts w:ascii="Symbol" w:hAnsi="Symbol" w:hint="default"/>
      </w:rPr>
    </w:lvl>
    <w:lvl w:ilvl="7" w:tplc="DC02F9A4" w:tentative="1">
      <w:start w:val="1"/>
      <w:numFmt w:val="bullet"/>
      <w:lvlText w:val="o"/>
      <w:lvlJc w:val="left"/>
      <w:pPr>
        <w:ind w:left="5760" w:hanging="360"/>
      </w:pPr>
      <w:rPr>
        <w:rFonts w:ascii="Courier New" w:hAnsi="Courier New" w:cs="Courier New" w:hint="default"/>
      </w:rPr>
    </w:lvl>
    <w:lvl w:ilvl="8" w:tplc="CFA68BEE" w:tentative="1">
      <w:start w:val="1"/>
      <w:numFmt w:val="bullet"/>
      <w:lvlText w:val=""/>
      <w:lvlJc w:val="left"/>
      <w:pPr>
        <w:ind w:left="6480" w:hanging="360"/>
      </w:pPr>
      <w:rPr>
        <w:rFonts w:ascii="Wingdings" w:hAnsi="Wingdings" w:hint="default"/>
      </w:rPr>
    </w:lvl>
  </w:abstractNum>
  <w:num w:numId="1" w16cid:durableId="170867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35"/>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16C"/>
    <w:rsid w:val="00064BF2"/>
    <w:rsid w:val="000667BA"/>
    <w:rsid w:val="000676A7"/>
    <w:rsid w:val="00073914"/>
    <w:rsid w:val="00074236"/>
    <w:rsid w:val="000746BD"/>
    <w:rsid w:val="00076D7D"/>
    <w:rsid w:val="00080D95"/>
    <w:rsid w:val="00090E6B"/>
    <w:rsid w:val="00091B2C"/>
    <w:rsid w:val="00092ABC"/>
    <w:rsid w:val="00096535"/>
    <w:rsid w:val="00097AAF"/>
    <w:rsid w:val="00097D13"/>
    <w:rsid w:val="000A4893"/>
    <w:rsid w:val="000A4ABB"/>
    <w:rsid w:val="000A54E0"/>
    <w:rsid w:val="000A72C4"/>
    <w:rsid w:val="000B0F30"/>
    <w:rsid w:val="000B1486"/>
    <w:rsid w:val="000B3E61"/>
    <w:rsid w:val="000B54AF"/>
    <w:rsid w:val="000B6090"/>
    <w:rsid w:val="000B6FEE"/>
    <w:rsid w:val="000C12C4"/>
    <w:rsid w:val="000C1AB3"/>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CE7"/>
    <w:rsid w:val="00102D3F"/>
    <w:rsid w:val="00102EC7"/>
    <w:rsid w:val="0010347D"/>
    <w:rsid w:val="00110C79"/>
    <w:rsid w:val="00110F8C"/>
    <w:rsid w:val="0011274A"/>
    <w:rsid w:val="00113522"/>
    <w:rsid w:val="0011378D"/>
    <w:rsid w:val="00115EE9"/>
    <w:rsid w:val="001169F9"/>
    <w:rsid w:val="00116B0E"/>
    <w:rsid w:val="00120797"/>
    <w:rsid w:val="001218D2"/>
    <w:rsid w:val="0012371B"/>
    <w:rsid w:val="001245C8"/>
    <w:rsid w:val="00124653"/>
    <w:rsid w:val="001247C5"/>
    <w:rsid w:val="00127893"/>
    <w:rsid w:val="001312BB"/>
    <w:rsid w:val="001346AD"/>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261"/>
    <w:rsid w:val="00195388"/>
    <w:rsid w:val="0019539E"/>
    <w:rsid w:val="0019680B"/>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6D73"/>
    <w:rsid w:val="0024077A"/>
    <w:rsid w:val="00241EC1"/>
    <w:rsid w:val="002431DA"/>
    <w:rsid w:val="0024691D"/>
    <w:rsid w:val="00247D27"/>
    <w:rsid w:val="00250A50"/>
    <w:rsid w:val="00251ED5"/>
    <w:rsid w:val="00255EB6"/>
    <w:rsid w:val="00257429"/>
    <w:rsid w:val="00260FA4"/>
    <w:rsid w:val="00261183"/>
    <w:rsid w:val="002616B8"/>
    <w:rsid w:val="00262A66"/>
    <w:rsid w:val="00263140"/>
    <w:rsid w:val="002631C8"/>
    <w:rsid w:val="00265133"/>
    <w:rsid w:val="00265A23"/>
    <w:rsid w:val="00267841"/>
    <w:rsid w:val="002710C3"/>
    <w:rsid w:val="0027339D"/>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17E35"/>
    <w:rsid w:val="00321337"/>
    <w:rsid w:val="00321F2F"/>
    <w:rsid w:val="003237F6"/>
    <w:rsid w:val="00324077"/>
    <w:rsid w:val="0032453B"/>
    <w:rsid w:val="00324868"/>
    <w:rsid w:val="00324EF5"/>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28C"/>
    <w:rsid w:val="00355A98"/>
    <w:rsid w:val="00355D7E"/>
    <w:rsid w:val="003568DE"/>
    <w:rsid w:val="00357CA1"/>
    <w:rsid w:val="00361FE9"/>
    <w:rsid w:val="003624F2"/>
    <w:rsid w:val="00363854"/>
    <w:rsid w:val="00364315"/>
    <w:rsid w:val="003643E2"/>
    <w:rsid w:val="00366A36"/>
    <w:rsid w:val="00370155"/>
    <w:rsid w:val="003712D5"/>
    <w:rsid w:val="003747DF"/>
    <w:rsid w:val="00377E3D"/>
    <w:rsid w:val="003847E8"/>
    <w:rsid w:val="00384F60"/>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67CC"/>
    <w:rsid w:val="003F77F8"/>
    <w:rsid w:val="00400ACD"/>
    <w:rsid w:val="00402826"/>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AC1"/>
    <w:rsid w:val="00423FBC"/>
    <w:rsid w:val="004241AA"/>
    <w:rsid w:val="0042422E"/>
    <w:rsid w:val="004247BF"/>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22D7"/>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658"/>
    <w:rsid w:val="006F4BB0"/>
    <w:rsid w:val="006F75FF"/>
    <w:rsid w:val="007031BD"/>
    <w:rsid w:val="00703E80"/>
    <w:rsid w:val="00705276"/>
    <w:rsid w:val="007066A0"/>
    <w:rsid w:val="007075FB"/>
    <w:rsid w:val="0070787B"/>
    <w:rsid w:val="0071131D"/>
    <w:rsid w:val="00711E3D"/>
    <w:rsid w:val="00711E85"/>
    <w:rsid w:val="00712DDA"/>
    <w:rsid w:val="00717739"/>
    <w:rsid w:val="00717DE4"/>
    <w:rsid w:val="00721724"/>
    <w:rsid w:val="00721D91"/>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0022"/>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3E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53CC"/>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C1E"/>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0A74"/>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67CF"/>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03A2"/>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71F"/>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209"/>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3F22"/>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41A8"/>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07459"/>
    <w:rsid w:val="00C119AC"/>
    <w:rsid w:val="00C11EA2"/>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2122"/>
    <w:rsid w:val="00CD37DA"/>
    <w:rsid w:val="00CD4F2C"/>
    <w:rsid w:val="00CD731C"/>
    <w:rsid w:val="00CE08E8"/>
    <w:rsid w:val="00CE2133"/>
    <w:rsid w:val="00CE245D"/>
    <w:rsid w:val="00CE300F"/>
    <w:rsid w:val="00CE3582"/>
    <w:rsid w:val="00CE3795"/>
    <w:rsid w:val="00CE3E20"/>
    <w:rsid w:val="00CF2616"/>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6B8E"/>
    <w:rsid w:val="00D37BCF"/>
    <w:rsid w:val="00D40F93"/>
    <w:rsid w:val="00D42277"/>
    <w:rsid w:val="00D4373B"/>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5BD4"/>
    <w:rsid w:val="00DE618B"/>
    <w:rsid w:val="00DE6EC2"/>
    <w:rsid w:val="00DF0834"/>
    <w:rsid w:val="00DF0873"/>
    <w:rsid w:val="00DF2707"/>
    <w:rsid w:val="00DF4D90"/>
    <w:rsid w:val="00DF5EBD"/>
    <w:rsid w:val="00DF6BA8"/>
    <w:rsid w:val="00DF78EA"/>
    <w:rsid w:val="00DF7CA3"/>
    <w:rsid w:val="00DF7F0D"/>
    <w:rsid w:val="00E00D5A"/>
    <w:rsid w:val="00E01462"/>
    <w:rsid w:val="00E01537"/>
    <w:rsid w:val="00E01A76"/>
    <w:rsid w:val="00E04B30"/>
    <w:rsid w:val="00E05FB7"/>
    <w:rsid w:val="00E066E6"/>
    <w:rsid w:val="00E06807"/>
    <w:rsid w:val="00E06C5E"/>
    <w:rsid w:val="00E0752B"/>
    <w:rsid w:val="00E1228E"/>
    <w:rsid w:val="00E13374"/>
    <w:rsid w:val="00E14079"/>
    <w:rsid w:val="00E15F90"/>
    <w:rsid w:val="00E162E1"/>
    <w:rsid w:val="00E16AFA"/>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1662"/>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6B9C"/>
    <w:rsid w:val="00EA7A88"/>
    <w:rsid w:val="00EB27F2"/>
    <w:rsid w:val="00EB3928"/>
    <w:rsid w:val="00EB5373"/>
    <w:rsid w:val="00EC02A2"/>
    <w:rsid w:val="00EC379B"/>
    <w:rsid w:val="00EC37DF"/>
    <w:rsid w:val="00EC3A99"/>
    <w:rsid w:val="00EC41B1"/>
    <w:rsid w:val="00EC7983"/>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3CE"/>
    <w:rsid w:val="00F02457"/>
    <w:rsid w:val="00F036C3"/>
    <w:rsid w:val="00F0417E"/>
    <w:rsid w:val="00F05397"/>
    <w:rsid w:val="00F05FB3"/>
    <w:rsid w:val="00F0638C"/>
    <w:rsid w:val="00F11E04"/>
    <w:rsid w:val="00F12B24"/>
    <w:rsid w:val="00F12BC7"/>
    <w:rsid w:val="00F15223"/>
    <w:rsid w:val="00F153D4"/>
    <w:rsid w:val="00F164B4"/>
    <w:rsid w:val="00F176E4"/>
    <w:rsid w:val="00F20E5F"/>
    <w:rsid w:val="00F25C26"/>
    <w:rsid w:val="00F25CC2"/>
    <w:rsid w:val="00F27573"/>
    <w:rsid w:val="00F307B6"/>
    <w:rsid w:val="00F30EB8"/>
    <w:rsid w:val="00F31876"/>
    <w:rsid w:val="00F31C67"/>
    <w:rsid w:val="00F31F9F"/>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99059C-62CE-48E8-90E5-19290BC8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941A8"/>
    <w:rPr>
      <w:sz w:val="16"/>
      <w:szCs w:val="16"/>
    </w:rPr>
  </w:style>
  <w:style w:type="paragraph" w:styleId="CommentText">
    <w:name w:val="annotation text"/>
    <w:basedOn w:val="Normal"/>
    <w:link w:val="CommentTextChar"/>
    <w:unhideWhenUsed/>
    <w:rsid w:val="00B941A8"/>
    <w:rPr>
      <w:sz w:val="20"/>
      <w:szCs w:val="20"/>
    </w:rPr>
  </w:style>
  <w:style w:type="character" w:customStyle="1" w:styleId="CommentTextChar">
    <w:name w:val="Comment Text Char"/>
    <w:basedOn w:val="DefaultParagraphFont"/>
    <w:link w:val="CommentText"/>
    <w:rsid w:val="00B941A8"/>
  </w:style>
  <w:style w:type="paragraph" w:styleId="CommentSubject">
    <w:name w:val="annotation subject"/>
    <w:basedOn w:val="CommentText"/>
    <w:next w:val="CommentText"/>
    <w:link w:val="CommentSubjectChar"/>
    <w:semiHidden/>
    <w:unhideWhenUsed/>
    <w:rsid w:val="00B941A8"/>
    <w:rPr>
      <w:b/>
      <w:bCs/>
    </w:rPr>
  </w:style>
  <w:style w:type="character" w:customStyle="1" w:styleId="CommentSubjectChar">
    <w:name w:val="Comment Subject Char"/>
    <w:basedOn w:val="CommentTextChar"/>
    <w:link w:val="CommentSubject"/>
    <w:semiHidden/>
    <w:rsid w:val="00B941A8"/>
    <w:rPr>
      <w:b/>
      <w:bCs/>
    </w:rPr>
  </w:style>
  <w:style w:type="paragraph" w:styleId="Revision">
    <w:name w:val="Revision"/>
    <w:hidden/>
    <w:uiPriority w:val="99"/>
    <w:semiHidden/>
    <w:rsid w:val="00195261"/>
    <w:rPr>
      <w:sz w:val="24"/>
      <w:szCs w:val="24"/>
    </w:rPr>
  </w:style>
  <w:style w:type="character" w:styleId="Hyperlink">
    <w:name w:val="Hyperlink"/>
    <w:basedOn w:val="DefaultParagraphFont"/>
    <w:unhideWhenUsed/>
    <w:rsid w:val="00195261"/>
    <w:rPr>
      <w:color w:val="0000FF" w:themeColor="hyperlink"/>
      <w:u w:val="single"/>
    </w:rPr>
  </w:style>
  <w:style w:type="character" w:customStyle="1" w:styleId="UnresolvedMention1">
    <w:name w:val="Unresolved Mention1"/>
    <w:basedOn w:val="DefaultParagraphFont"/>
    <w:uiPriority w:val="99"/>
    <w:semiHidden/>
    <w:unhideWhenUsed/>
    <w:rsid w:val="00195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813</Words>
  <Characters>4091</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BA - SB01352 (Committee Report (Unamended))</vt:lpstr>
    </vt:vector>
  </TitlesOfParts>
  <Company>State of Texas</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31112</dc:subject>
  <dc:creator>State of Texas</dc:creator>
  <dc:description>SB 1352 by Hinojosa, Adam-(H)Ways &amp; Means</dc:description>
  <cp:lastModifiedBy>Damian Duarte</cp:lastModifiedBy>
  <cp:revision>2</cp:revision>
  <cp:lastPrinted>2003-11-26T17:21:00Z</cp:lastPrinted>
  <dcterms:created xsi:type="dcterms:W3CDTF">2025-05-16T16:52:00Z</dcterms:created>
  <dcterms:modified xsi:type="dcterms:W3CDTF">2025-05-16T16:52:00Z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25.136.39</vt:lpwstr>
  </property>
</Properties>
</file>