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4113" w:rsidRDefault="0016411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12ABCA252FA4B9583A14EDB4AD8F2BB"/>
          </w:placeholder>
        </w:sdtPr>
        <w:sdtContent>
          <w:r w:rsidRPr="005C2A78">
            <w:rPr>
              <w:rFonts w:cs="Times New Roman"/>
              <w:b/>
              <w:szCs w:val="24"/>
              <w:u w:val="single"/>
            </w:rPr>
            <w:t>BILL ANALYSIS</w:t>
          </w:r>
        </w:sdtContent>
      </w:sdt>
    </w:p>
    <w:p w:rsidR="00164113" w:rsidRPr="00585C31" w:rsidRDefault="00164113" w:rsidP="000F1DF9">
      <w:pPr>
        <w:spacing w:after="0" w:line="240" w:lineRule="auto"/>
        <w:rPr>
          <w:rFonts w:cs="Times New Roman"/>
          <w:szCs w:val="24"/>
        </w:rPr>
      </w:pPr>
    </w:p>
    <w:p w:rsidR="00164113" w:rsidRPr="00585C31" w:rsidRDefault="0016411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64113" w:rsidTr="000F1DF9">
        <w:tc>
          <w:tcPr>
            <w:tcW w:w="2718" w:type="dxa"/>
          </w:tcPr>
          <w:p w:rsidR="00164113" w:rsidRPr="005C2A78" w:rsidRDefault="00164113" w:rsidP="006D756B">
            <w:pPr>
              <w:rPr>
                <w:rFonts w:cs="Times New Roman"/>
                <w:szCs w:val="24"/>
              </w:rPr>
            </w:pPr>
            <w:sdt>
              <w:sdtPr>
                <w:rPr>
                  <w:rFonts w:cs="Times New Roman"/>
                  <w:szCs w:val="24"/>
                </w:rPr>
                <w:alias w:val="Agency Title"/>
                <w:tag w:val="AgencyTitleContentControl"/>
                <w:id w:val="1920747753"/>
                <w:lock w:val="sdtContentLocked"/>
                <w:placeholder>
                  <w:docPart w:val="BD25B8472F2B407A995DBFBFB1A89D5C"/>
                </w:placeholder>
              </w:sdtPr>
              <w:sdtEndPr>
                <w:rPr>
                  <w:rFonts w:cstheme="minorBidi"/>
                  <w:szCs w:val="22"/>
                </w:rPr>
              </w:sdtEndPr>
              <w:sdtContent>
                <w:r>
                  <w:rPr>
                    <w:rFonts w:cs="Times New Roman"/>
                    <w:szCs w:val="24"/>
                  </w:rPr>
                  <w:t>Senate Research Center</w:t>
                </w:r>
              </w:sdtContent>
            </w:sdt>
          </w:p>
        </w:tc>
        <w:tc>
          <w:tcPr>
            <w:tcW w:w="6858" w:type="dxa"/>
          </w:tcPr>
          <w:p w:rsidR="00164113" w:rsidRPr="00FF6471" w:rsidRDefault="00164113" w:rsidP="000F1DF9">
            <w:pPr>
              <w:jc w:val="right"/>
              <w:rPr>
                <w:rFonts w:cs="Times New Roman"/>
                <w:szCs w:val="24"/>
              </w:rPr>
            </w:pPr>
            <w:sdt>
              <w:sdtPr>
                <w:rPr>
                  <w:rFonts w:cs="Times New Roman"/>
                  <w:szCs w:val="24"/>
                </w:rPr>
                <w:alias w:val="Bill Number"/>
                <w:tag w:val="BillNumberOne"/>
                <w:id w:val="-410784069"/>
                <w:lock w:val="sdtContentLocked"/>
                <w:placeholder>
                  <w:docPart w:val="9A40F42C6F234652BE194022A414AD14"/>
                </w:placeholder>
              </w:sdtPr>
              <w:sdtContent>
                <w:r>
                  <w:rPr>
                    <w:rFonts w:cs="Times New Roman"/>
                    <w:szCs w:val="24"/>
                  </w:rPr>
                  <w:t>S.B. 1383</w:t>
                </w:r>
              </w:sdtContent>
            </w:sdt>
          </w:p>
        </w:tc>
      </w:tr>
      <w:tr w:rsidR="00164113" w:rsidTr="000F1DF9">
        <w:sdt>
          <w:sdtPr>
            <w:rPr>
              <w:rFonts w:cs="Times New Roman"/>
              <w:szCs w:val="24"/>
            </w:rPr>
            <w:alias w:val="TLCNumber"/>
            <w:tag w:val="TLCNumber"/>
            <w:id w:val="-542600604"/>
            <w:lock w:val="sdtLocked"/>
            <w:placeholder>
              <w:docPart w:val="5EB33AD8DCAD4D2AB71FE140A29B433B"/>
            </w:placeholder>
            <w:showingPlcHdr/>
          </w:sdtPr>
          <w:sdtContent>
            <w:tc>
              <w:tcPr>
                <w:tcW w:w="2718" w:type="dxa"/>
              </w:tcPr>
              <w:p w:rsidR="00164113" w:rsidRPr="000F1DF9" w:rsidRDefault="00164113" w:rsidP="00C65088">
                <w:pPr>
                  <w:rPr>
                    <w:rFonts w:cs="Times New Roman"/>
                    <w:szCs w:val="24"/>
                  </w:rPr>
                </w:pPr>
              </w:p>
            </w:tc>
          </w:sdtContent>
        </w:sdt>
        <w:tc>
          <w:tcPr>
            <w:tcW w:w="6858" w:type="dxa"/>
          </w:tcPr>
          <w:p w:rsidR="00164113" w:rsidRPr="005C2A78" w:rsidRDefault="00164113" w:rsidP="00073EDD">
            <w:pPr>
              <w:jc w:val="right"/>
              <w:rPr>
                <w:rFonts w:cs="Times New Roman"/>
                <w:szCs w:val="24"/>
              </w:rPr>
            </w:pPr>
            <w:sdt>
              <w:sdtPr>
                <w:rPr>
                  <w:rFonts w:cs="Times New Roman"/>
                  <w:szCs w:val="24"/>
                </w:rPr>
                <w:alias w:val="Author Label"/>
                <w:tag w:val="By"/>
                <w:id w:val="72399597"/>
                <w:lock w:val="sdtLocked"/>
                <w:placeholder>
                  <w:docPart w:val="68FD2AE5E26247B58D6B279446C3AB4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30AF7AF4DE74CD79D34D3A1AEFF226F"/>
                </w:placeholder>
              </w:sdtPr>
              <w:sdtContent>
                <w:r>
                  <w:rPr>
                    <w:rFonts w:cs="Times New Roman"/>
                    <w:szCs w:val="24"/>
                  </w:rPr>
                  <w:t>Middleton; Johnson</w:t>
                </w:r>
              </w:sdtContent>
            </w:sdt>
            <w:sdt>
              <w:sdtPr>
                <w:rPr>
                  <w:rFonts w:cs="Times New Roman"/>
                  <w:szCs w:val="24"/>
                </w:rPr>
                <w:alias w:val="Sponsor"/>
                <w:tag w:val="Sponsor"/>
                <w:id w:val="-2039656131"/>
                <w:lock w:val="sdtContentLocked"/>
                <w:placeholder>
                  <w:docPart w:val="37EF2AD23E864E8DB9B3BB45EAEBA561"/>
                </w:placeholder>
                <w:showingPlcHdr/>
              </w:sdtPr>
              <w:sdtContent/>
            </w:sdt>
            <w:sdt>
              <w:sdtPr>
                <w:rPr>
                  <w:rFonts w:cs="Times New Roman"/>
                  <w:szCs w:val="24"/>
                </w:rPr>
                <w:alias w:val="DualSponsor"/>
                <w:tag w:val="DualSponsor"/>
                <w:id w:val="1029379812"/>
                <w:lock w:val="sdtContentLocked"/>
                <w:placeholder>
                  <w:docPart w:val="91A287B082324CF99AF6482738A78458"/>
                </w:placeholder>
                <w:showingPlcHdr/>
              </w:sdtPr>
              <w:sdtContent/>
            </w:sdt>
          </w:p>
        </w:tc>
      </w:tr>
      <w:tr w:rsidR="00164113" w:rsidTr="000F1DF9">
        <w:tc>
          <w:tcPr>
            <w:tcW w:w="2718" w:type="dxa"/>
          </w:tcPr>
          <w:p w:rsidR="00164113" w:rsidRPr="00BC7495" w:rsidRDefault="00164113" w:rsidP="000F1DF9">
            <w:pPr>
              <w:rPr>
                <w:rFonts w:cs="Times New Roman"/>
                <w:szCs w:val="24"/>
              </w:rPr>
            </w:pPr>
          </w:p>
        </w:tc>
        <w:sdt>
          <w:sdtPr>
            <w:rPr>
              <w:rFonts w:cs="Times New Roman"/>
              <w:szCs w:val="24"/>
            </w:rPr>
            <w:alias w:val="Committee"/>
            <w:tag w:val="Committee"/>
            <w:id w:val="1914272295"/>
            <w:lock w:val="sdtContentLocked"/>
            <w:placeholder>
              <w:docPart w:val="B47E757541A3452BAB46C474F4F18CEB"/>
            </w:placeholder>
          </w:sdtPr>
          <w:sdtContent>
            <w:tc>
              <w:tcPr>
                <w:tcW w:w="6858" w:type="dxa"/>
              </w:tcPr>
              <w:p w:rsidR="00164113" w:rsidRPr="00FF6471" w:rsidRDefault="00164113" w:rsidP="000F1DF9">
                <w:pPr>
                  <w:jc w:val="right"/>
                  <w:rPr>
                    <w:rFonts w:cs="Times New Roman"/>
                    <w:szCs w:val="24"/>
                  </w:rPr>
                </w:pPr>
                <w:r>
                  <w:rPr>
                    <w:rFonts w:cs="Times New Roman"/>
                    <w:szCs w:val="24"/>
                  </w:rPr>
                  <w:t>Health &amp; Human Services</w:t>
                </w:r>
              </w:p>
            </w:tc>
          </w:sdtContent>
        </w:sdt>
      </w:tr>
      <w:tr w:rsidR="00164113" w:rsidTr="000F1DF9">
        <w:tc>
          <w:tcPr>
            <w:tcW w:w="2718" w:type="dxa"/>
          </w:tcPr>
          <w:p w:rsidR="00164113" w:rsidRPr="00BC7495" w:rsidRDefault="00164113" w:rsidP="000F1DF9">
            <w:pPr>
              <w:rPr>
                <w:rFonts w:cs="Times New Roman"/>
                <w:szCs w:val="24"/>
              </w:rPr>
            </w:pPr>
          </w:p>
        </w:tc>
        <w:sdt>
          <w:sdtPr>
            <w:rPr>
              <w:rFonts w:cs="Times New Roman"/>
              <w:szCs w:val="24"/>
            </w:rPr>
            <w:alias w:val="Date"/>
            <w:tag w:val="DateContentControl"/>
            <w:id w:val="1178081906"/>
            <w:lock w:val="sdtLocked"/>
            <w:placeholder>
              <w:docPart w:val="DD3EDDDA693649068CF0D916CCE0B7DA"/>
            </w:placeholder>
            <w:date w:fullDate="2025-06-09T00:00:00Z">
              <w:dateFormat w:val="M/d/yyyy"/>
              <w:lid w:val="en-US"/>
              <w:storeMappedDataAs w:val="dateTime"/>
              <w:calendar w:val="gregorian"/>
            </w:date>
          </w:sdtPr>
          <w:sdtContent>
            <w:tc>
              <w:tcPr>
                <w:tcW w:w="6858" w:type="dxa"/>
              </w:tcPr>
              <w:p w:rsidR="00164113" w:rsidRPr="00FF6471" w:rsidRDefault="00164113" w:rsidP="000F1DF9">
                <w:pPr>
                  <w:jc w:val="right"/>
                  <w:rPr>
                    <w:rFonts w:cs="Times New Roman"/>
                    <w:szCs w:val="24"/>
                  </w:rPr>
                </w:pPr>
                <w:r>
                  <w:rPr>
                    <w:rFonts w:cs="Times New Roman"/>
                    <w:szCs w:val="24"/>
                  </w:rPr>
                  <w:t>6/9/2025</w:t>
                </w:r>
              </w:p>
            </w:tc>
          </w:sdtContent>
        </w:sdt>
      </w:tr>
      <w:tr w:rsidR="00164113" w:rsidTr="000F1DF9">
        <w:tc>
          <w:tcPr>
            <w:tcW w:w="2718" w:type="dxa"/>
          </w:tcPr>
          <w:p w:rsidR="00164113" w:rsidRPr="00BC7495" w:rsidRDefault="00164113" w:rsidP="000F1DF9">
            <w:pPr>
              <w:rPr>
                <w:rFonts w:cs="Times New Roman"/>
                <w:szCs w:val="24"/>
              </w:rPr>
            </w:pPr>
          </w:p>
        </w:tc>
        <w:sdt>
          <w:sdtPr>
            <w:rPr>
              <w:rFonts w:cs="Times New Roman"/>
              <w:szCs w:val="24"/>
            </w:rPr>
            <w:alias w:val="BA Version"/>
            <w:tag w:val="BAVersion"/>
            <w:id w:val="-1685590809"/>
            <w:lock w:val="sdtContentLocked"/>
            <w:placeholder>
              <w:docPart w:val="EA06DEFC42CD4AC98CB777ECDA375B7D"/>
            </w:placeholder>
          </w:sdtPr>
          <w:sdtContent>
            <w:tc>
              <w:tcPr>
                <w:tcW w:w="6858" w:type="dxa"/>
              </w:tcPr>
              <w:p w:rsidR="00164113" w:rsidRPr="00FF6471" w:rsidRDefault="00164113" w:rsidP="000F1DF9">
                <w:pPr>
                  <w:jc w:val="right"/>
                  <w:rPr>
                    <w:rFonts w:cs="Times New Roman"/>
                    <w:szCs w:val="24"/>
                  </w:rPr>
                </w:pPr>
                <w:r>
                  <w:rPr>
                    <w:rFonts w:cs="Times New Roman"/>
                    <w:szCs w:val="24"/>
                  </w:rPr>
                  <w:t>Enrolled</w:t>
                </w:r>
              </w:p>
            </w:tc>
          </w:sdtContent>
        </w:sdt>
      </w:tr>
    </w:tbl>
    <w:p w:rsidR="00164113" w:rsidRPr="00FF6471" w:rsidRDefault="00164113" w:rsidP="000F1DF9">
      <w:pPr>
        <w:spacing w:after="0" w:line="240" w:lineRule="auto"/>
        <w:rPr>
          <w:rFonts w:cs="Times New Roman"/>
          <w:szCs w:val="24"/>
        </w:rPr>
      </w:pPr>
    </w:p>
    <w:p w:rsidR="00164113" w:rsidRPr="00FF6471" w:rsidRDefault="00164113" w:rsidP="000F1DF9">
      <w:pPr>
        <w:spacing w:after="0" w:line="240" w:lineRule="auto"/>
        <w:rPr>
          <w:rFonts w:cs="Times New Roman"/>
          <w:szCs w:val="24"/>
        </w:rPr>
      </w:pPr>
    </w:p>
    <w:p w:rsidR="00164113" w:rsidRPr="00FF6471" w:rsidRDefault="0016411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A6FFCEA2CAB404AB871CF1B5C2FC8BA"/>
        </w:placeholder>
      </w:sdtPr>
      <w:sdtContent>
        <w:p w:rsidR="00164113" w:rsidRDefault="0016411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6561B6D86BD74193B3630D13981DD788"/>
        </w:placeholder>
      </w:sdtPr>
      <w:sdtContent>
        <w:p w:rsidR="00164113" w:rsidRDefault="00164113" w:rsidP="00164113">
          <w:pPr>
            <w:pStyle w:val="NormalWeb"/>
            <w:spacing w:before="0" w:beforeAutospacing="0" w:after="0" w:afterAutospacing="0"/>
            <w:jc w:val="both"/>
            <w:divId w:val="2054187587"/>
            <w:rPr>
              <w:rFonts w:eastAsia="Times New Roman"/>
              <w:bCs/>
            </w:rPr>
          </w:pPr>
        </w:p>
        <w:p w:rsidR="00164113" w:rsidRDefault="00164113" w:rsidP="00164113">
          <w:pPr>
            <w:pStyle w:val="NormalWeb"/>
            <w:spacing w:before="0" w:beforeAutospacing="0" w:after="0" w:afterAutospacing="0"/>
            <w:jc w:val="both"/>
            <w:divId w:val="2054187587"/>
            <w:rPr>
              <w:rFonts w:eastAsia="Times New Roman"/>
              <w:bCs/>
            </w:rPr>
          </w:pPr>
          <w:r w:rsidRPr="00A569FE">
            <w:rPr>
              <w:rFonts w:eastAsia="Times New Roman"/>
              <w:bCs/>
            </w:rPr>
            <w:t>State law currently does not directly regulate agencies that refer persons to senior living communities. The committee substitute to S.B. 1383 would address that issue by creating a chapter in the Business &amp; Commerce Code specifically for referral agencies for senior living communities. Senior living communities would include adult foster care facilities, assisted living facilities, retirement villages, and any other facility that provides shelter, food, social activities, or other personal services specifically for elderly individuals.</w:t>
          </w:r>
          <w:r>
            <w:rPr>
              <w:rFonts w:eastAsia="Times New Roman"/>
              <w:bCs/>
            </w:rPr>
            <w:t xml:space="preserve"> </w:t>
          </w:r>
          <w:r w:rsidRPr="00A569FE">
            <w:rPr>
              <w:rFonts w:eastAsia="Times New Roman"/>
              <w:bCs/>
            </w:rPr>
            <w:t>S.B. 1383 would establish requirements for referral services, including disclosure requirements. The bill would also codify certain prohibited conduct and duties of referral agencies. The bill would describe the range of compensation arrangements referral agencies and communities may enter and provide that current law relating prohibited compensation of health care providers does not apply to referral agencies as defined by the chapter. Finally, the bill would clarify that the law would not impact other laws regulating senior living communities, nor does it abrogate or lessen any existing defenses or remedies.</w:t>
          </w:r>
        </w:p>
        <w:p w:rsidR="00164113" w:rsidRPr="00A569FE" w:rsidRDefault="00164113" w:rsidP="00164113">
          <w:pPr>
            <w:pStyle w:val="NormalWeb"/>
            <w:spacing w:before="0" w:beforeAutospacing="0" w:after="0" w:afterAutospacing="0"/>
            <w:jc w:val="both"/>
            <w:divId w:val="2054187587"/>
            <w:rPr>
              <w:rFonts w:eastAsia="Times New Roman"/>
              <w:bCs/>
            </w:rPr>
          </w:pPr>
        </w:p>
      </w:sdtContent>
    </w:sdt>
    <w:p w:rsidR="00164113" w:rsidRDefault="00164113" w:rsidP="0016411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1383 </w:t>
      </w:r>
      <w:bookmarkStart w:id="1" w:name="AmendsCurrentLaw"/>
      <w:bookmarkEnd w:id="1"/>
      <w:r>
        <w:rPr>
          <w:rFonts w:cs="Times New Roman"/>
          <w:szCs w:val="24"/>
        </w:rPr>
        <w:t xml:space="preserve">amends current law </w:t>
      </w:r>
      <w:r w:rsidRPr="004B3D45">
        <w:rPr>
          <w:rFonts w:cs="Times New Roman"/>
          <w:szCs w:val="24"/>
        </w:rPr>
        <w:t>relating to the regulation of referral agencies for senior living communities.</w:t>
      </w:r>
      <w:r>
        <w:rPr>
          <w:rFonts w:cs="Times New Roman"/>
          <w:szCs w:val="24"/>
        </w:rPr>
        <w:t xml:space="preserve"> </w:t>
      </w:r>
    </w:p>
    <w:p w:rsidR="00164113" w:rsidRPr="004B3D45" w:rsidRDefault="00164113" w:rsidP="00164113">
      <w:pPr>
        <w:spacing w:after="0" w:line="240" w:lineRule="auto"/>
        <w:jc w:val="both"/>
        <w:rPr>
          <w:rFonts w:eastAsia="Times New Roman" w:cs="Times New Roman"/>
          <w:b/>
          <w:szCs w:val="24"/>
          <w:u w:val="single"/>
        </w:rPr>
      </w:pPr>
    </w:p>
    <w:p w:rsidR="00164113" w:rsidRPr="005C2A78" w:rsidRDefault="00164113" w:rsidP="0016411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2423849313242C79FF63D212570E42F"/>
          </w:placeholder>
        </w:sdtPr>
        <w:sdtContent>
          <w:r>
            <w:rPr>
              <w:rFonts w:eastAsia="Times New Roman" w:cs="Times New Roman"/>
              <w:b/>
              <w:szCs w:val="24"/>
              <w:u w:val="single"/>
            </w:rPr>
            <w:t>RULEMAKING AUTHORITY</w:t>
          </w:r>
        </w:sdtContent>
      </w:sdt>
    </w:p>
    <w:p w:rsidR="00164113" w:rsidRPr="006529C4" w:rsidRDefault="00164113" w:rsidP="00164113">
      <w:pPr>
        <w:spacing w:after="0" w:line="240" w:lineRule="auto"/>
        <w:jc w:val="both"/>
        <w:rPr>
          <w:rFonts w:cs="Times New Roman"/>
          <w:szCs w:val="24"/>
        </w:rPr>
      </w:pPr>
    </w:p>
    <w:p w:rsidR="00164113" w:rsidRDefault="00164113" w:rsidP="00164113">
      <w:pPr>
        <w:spacing w:after="0" w:line="240" w:lineRule="auto"/>
        <w:jc w:val="both"/>
        <w:rPr>
          <w:rFonts w:cs="Times New Roman"/>
          <w:szCs w:val="24"/>
        </w:rPr>
      </w:pPr>
      <w:r w:rsidRPr="009A2CC0">
        <w:rPr>
          <w:rFonts w:cs="Times New Roman"/>
          <w:szCs w:val="24"/>
        </w:rPr>
        <w:t>This bill does not expressly grant any additional rulemaking authority to a state officer, institution, or agency.</w:t>
      </w:r>
    </w:p>
    <w:p w:rsidR="00164113" w:rsidRPr="006529C4" w:rsidRDefault="00164113" w:rsidP="00164113">
      <w:pPr>
        <w:spacing w:after="0" w:line="240" w:lineRule="auto"/>
        <w:jc w:val="both"/>
        <w:rPr>
          <w:rFonts w:cs="Times New Roman"/>
          <w:szCs w:val="24"/>
        </w:rPr>
      </w:pPr>
    </w:p>
    <w:p w:rsidR="00164113" w:rsidRPr="005C2A78" w:rsidRDefault="00164113" w:rsidP="0016411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C9E8A1762C54E2887EFC9CB24A9945E"/>
          </w:placeholder>
        </w:sdtPr>
        <w:sdtContent>
          <w:r>
            <w:rPr>
              <w:rFonts w:eastAsia="Times New Roman" w:cs="Times New Roman"/>
              <w:b/>
              <w:szCs w:val="24"/>
              <w:u w:val="single"/>
            </w:rPr>
            <w:t>SECTION BY SECTION ANALYSIS</w:t>
          </w:r>
        </w:sdtContent>
      </w:sdt>
    </w:p>
    <w:p w:rsidR="00164113" w:rsidRPr="005C2A78" w:rsidRDefault="00164113" w:rsidP="00164113">
      <w:pPr>
        <w:spacing w:after="0" w:line="240" w:lineRule="auto"/>
        <w:jc w:val="both"/>
        <w:rPr>
          <w:rFonts w:eastAsia="Times New Roman" w:cs="Times New Roman"/>
          <w:szCs w:val="24"/>
        </w:rPr>
      </w:pPr>
    </w:p>
    <w:p w:rsidR="00164113" w:rsidRDefault="00164113" w:rsidP="00164113">
      <w:pPr>
        <w:spacing w:after="0" w:line="240" w:lineRule="auto"/>
        <w:jc w:val="both"/>
        <w:rPr>
          <w:rFonts w:eastAsia="Times New Roman" w:cs="Times New Roman"/>
          <w:szCs w:val="24"/>
        </w:rPr>
      </w:pPr>
      <w:r>
        <w:rPr>
          <w:rFonts w:eastAsia="Times New Roman" w:cs="Times New Roman"/>
          <w:szCs w:val="24"/>
        </w:rPr>
        <w:t xml:space="preserve">SECTION 1. Amends Subtitle C, Title 5, Business &amp; Commerce Code, by adding Chapter 121, as follows: </w:t>
      </w:r>
    </w:p>
    <w:p w:rsidR="00164113" w:rsidRDefault="00164113" w:rsidP="00164113">
      <w:pPr>
        <w:spacing w:after="0" w:line="240" w:lineRule="auto"/>
        <w:jc w:val="both"/>
        <w:rPr>
          <w:rFonts w:eastAsia="Times New Roman" w:cs="Times New Roman"/>
          <w:szCs w:val="24"/>
        </w:rPr>
      </w:pPr>
    </w:p>
    <w:p w:rsidR="00164113" w:rsidRDefault="00164113" w:rsidP="00164113">
      <w:pPr>
        <w:spacing w:after="0" w:line="240" w:lineRule="auto"/>
        <w:ind w:left="720"/>
        <w:jc w:val="center"/>
        <w:rPr>
          <w:rFonts w:eastAsia="Times New Roman" w:cs="Times New Roman"/>
          <w:szCs w:val="24"/>
        </w:rPr>
      </w:pPr>
      <w:r>
        <w:rPr>
          <w:rFonts w:eastAsia="Times New Roman" w:cs="Times New Roman"/>
          <w:szCs w:val="24"/>
        </w:rPr>
        <w:t xml:space="preserve">CHAPTER 121. REFERRAL AGENCIES FOR SENIOR LIVING COMMUNITIES </w:t>
      </w:r>
    </w:p>
    <w:p w:rsidR="00164113" w:rsidRDefault="00164113" w:rsidP="00164113">
      <w:pPr>
        <w:spacing w:after="0" w:line="240" w:lineRule="auto"/>
        <w:ind w:left="720"/>
        <w:jc w:val="both"/>
        <w:rPr>
          <w:rFonts w:eastAsia="Times New Roman" w:cs="Times New Roman"/>
          <w:szCs w:val="24"/>
        </w:rPr>
      </w:pPr>
    </w:p>
    <w:p w:rsidR="00164113" w:rsidRDefault="00164113" w:rsidP="00164113">
      <w:pPr>
        <w:spacing w:after="0" w:line="240" w:lineRule="auto"/>
        <w:ind w:left="720"/>
        <w:jc w:val="both"/>
        <w:rPr>
          <w:rFonts w:eastAsia="Times New Roman" w:cs="Times New Roman"/>
          <w:szCs w:val="24"/>
        </w:rPr>
      </w:pPr>
      <w:r>
        <w:rPr>
          <w:rFonts w:eastAsia="Times New Roman" w:cs="Times New Roman"/>
          <w:szCs w:val="24"/>
        </w:rPr>
        <w:t>Sec. 121.001. DEFINITIONS. Defines "consumer," "referral agency," and "senior living community."</w:t>
      </w:r>
    </w:p>
    <w:p w:rsidR="00164113" w:rsidRDefault="00164113" w:rsidP="00164113">
      <w:pPr>
        <w:spacing w:after="0" w:line="240" w:lineRule="auto"/>
        <w:ind w:left="720"/>
        <w:jc w:val="both"/>
        <w:rPr>
          <w:rFonts w:eastAsia="Times New Roman" w:cs="Times New Roman"/>
          <w:szCs w:val="24"/>
        </w:rPr>
      </w:pPr>
    </w:p>
    <w:p w:rsidR="00164113" w:rsidRDefault="00164113" w:rsidP="00164113">
      <w:pPr>
        <w:spacing w:after="0" w:line="240" w:lineRule="auto"/>
        <w:ind w:left="720"/>
        <w:jc w:val="both"/>
        <w:rPr>
          <w:rFonts w:eastAsia="Times New Roman" w:cs="Times New Roman"/>
          <w:szCs w:val="24"/>
        </w:rPr>
      </w:pPr>
      <w:r>
        <w:rPr>
          <w:rFonts w:eastAsia="Times New Roman" w:cs="Times New Roman"/>
          <w:szCs w:val="24"/>
        </w:rPr>
        <w:t>Sec. 121.002. REFERRAL AGENCIES; REQUIRED DISCLOSURE. (a) Requires a referral agency, at the time of a referral, to provide a disclosure statement to the consumer that includes a description of the referral agency's services, a statement on whether the consumer or the senior living community to which the consumer is referred is responsible for paying the referral fee, a statement that the consumer is authorized to stop using the referral agency at any time without cause or penalty, and a statement that the list of senior living communities the referral agency provides to the consumer is prohibited from including all communities in the area that meet the consumer's stated preferences and needs.</w:t>
      </w:r>
    </w:p>
    <w:p w:rsidR="00164113" w:rsidRDefault="00164113" w:rsidP="00164113">
      <w:pPr>
        <w:spacing w:after="0" w:line="240" w:lineRule="auto"/>
        <w:ind w:left="720"/>
        <w:jc w:val="both"/>
        <w:rPr>
          <w:rFonts w:eastAsia="Times New Roman" w:cs="Times New Roman"/>
          <w:szCs w:val="24"/>
        </w:rPr>
      </w:pPr>
    </w:p>
    <w:p w:rsidR="00164113" w:rsidRDefault="00164113" w:rsidP="00164113">
      <w:pPr>
        <w:spacing w:after="0" w:line="240" w:lineRule="auto"/>
        <w:ind w:left="1440"/>
        <w:jc w:val="both"/>
        <w:rPr>
          <w:rFonts w:eastAsia="Times New Roman" w:cs="Times New Roman"/>
          <w:szCs w:val="24"/>
        </w:rPr>
      </w:pPr>
      <w:r>
        <w:rPr>
          <w:rFonts w:eastAsia="Times New Roman" w:cs="Times New Roman"/>
          <w:szCs w:val="24"/>
        </w:rPr>
        <w:t xml:space="preserve">(b) Requires a referral agency to provide the disclosure statement described by Subsection (a) to a consumer in the form of a written physical or electronic document. </w:t>
      </w:r>
    </w:p>
    <w:p w:rsidR="00164113" w:rsidRDefault="00164113" w:rsidP="00164113">
      <w:pPr>
        <w:spacing w:after="0" w:line="240" w:lineRule="auto"/>
        <w:ind w:left="1440"/>
        <w:jc w:val="both"/>
        <w:rPr>
          <w:rFonts w:eastAsia="Times New Roman" w:cs="Times New Roman"/>
          <w:szCs w:val="24"/>
        </w:rPr>
      </w:pPr>
    </w:p>
    <w:p w:rsidR="00164113" w:rsidRDefault="00164113" w:rsidP="00164113">
      <w:pPr>
        <w:spacing w:after="0" w:line="240" w:lineRule="auto"/>
        <w:ind w:left="1440"/>
        <w:jc w:val="both"/>
        <w:rPr>
          <w:rFonts w:eastAsia="Times New Roman" w:cs="Times New Roman"/>
          <w:szCs w:val="24"/>
        </w:rPr>
      </w:pPr>
      <w:r>
        <w:rPr>
          <w:rFonts w:eastAsia="Times New Roman" w:cs="Times New Roman"/>
          <w:szCs w:val="24"/>
        </w:rPr>
        <w:t xml:space="preserve">(c) Requires a referral agency to consider the consumer's preferences in selecting the senior living community to which the agency refers the consumer, and prohibits a referral agency from using cost as the sole factor in that selection. </w:t>
      </w:r>
    </w:p>
    <w:p w:rsidR="00164113" w:rsidRDefault="00164113" w:rsidP="00164113">
      <w:pPr>
        <w:spacing w:after="0" w:line="240" w:lineRule="auto"/>
        <w:ind w:left="1440"/>
        <w:jc w:val="both"/>
        <w:rPr>
          <w:rFonts w:eastAsia="Times New Roman" w:cs="Times New Roman"/>
          <w:szCs w:val="24"/>
        </w:rPr>
      </w:pPr>
    </w:p>
    <w:p w:rsidR="00164113" w:rsidRDefault="00164113" w:rsidP="00164113">
      <w:pPr>
        <w:spacing w:after="0" w:line="240" w:lineRule="auto"/>
        <w:ind w:left="1440"/>
        <w:jc w:val="both"/>
        <w:rPr>
          <w:rFonts w:eastAsia="Times New Roman" w:cs="Times New Roman"/>
          <w:szCs w:val="24"/>
        </w:rPr>
      </w:pPr>
      <w:r>
        <w:rPr>
          <w:rFonts w:eastAsia="Times New Roman" w:cs="Times New Roman"/>
          <w:szCs w:val="24"/>
        </w:rPr>
        <w:t xml:space="preserve">(d) Prohibits a senior living community from being required to contract with or otherwise use a referral agency. </w:t>
      </w:r>
    </w:p>
    <w:p w:rsidR="00164113" w:rsidRDefault="00164113" w:rsidP="00164113">
      <w:pPr>
        <w:spacing w:after="0" w:line="240" w:lineRule="auto"/>
        <w:ind w:left="1440"/>
        <w:jc w:val="both"/>
        <w:rPr>
          <w:rFonts w:eastAsia="Times New Roman" w:cs="Times New Roman"/>
          <w:szCs w:val="24"/>
        </w:rPr>
      </w:pPr>
    </w:p>
    <w:p w:rsidR="00164113" w:rsidRPr="004B3D45" w:rsidRDefault="00164113" w:rsidP="00164113">
      <w:pPr>
        <w:spacing w:after="0" w:line="240" w:lineRule="auto"/>
        <w:ind w:left="1440"/>
        <w:jc w:val="both"/>
        <w:rPr>
          <w:rFonts w:eastAsia="Times New Roman" w:cs="Times New Roman"/>
          <w:szCs w:val="24"/>
          <w:highlight w:val="yellow"/>
        </w:rPr>
      </w:pPr>
      <w:r w:rsidRPr="004B3D45">
        <w:rPr>
          <w:rFonts w:eastAsia="Times New Roman" w:cs="Times New Roman"/>
          <w:szCs w:val="24"/>
        </w:rPr>
        <w:t xml:space="preserve">(e) Requires </w:t>
      </w:r>
      <w:r>
        <w:rPr>
          <w:rFonts w:eastAsia="Times New Roman" w:cs="Times New Roman"/>
          <w:szCs w:val="24"/>
        </w:rPr>
        <w:t>a</w:t>
      </w:r>
      <w:r w:rsidRPr="004B3D45">
        <w:rPr>
          <w:rFonts w:eastAsia="Times New Roman" w:cs="Times New Roman"/>
          <w:szCs w:val="24"/>
        </w:rPr>
        <w:t xml:space="preserve"> referral agency, if a consumer decides to stop using </w:t>
      </w:r>
      <w:r>
        <w:rPr>
          <w:rFonts w:eastAsia="Times New Roman" w:cs="Times New Roman"/>
          <w:szCs w:val="24"/>
        </w:rPr>
        <w:t>the</w:t>
      </w:r>
      <w:r w:rsidRPr="004B3D45">
        <w:rPr>
          <w:rFonts w:eastAsia="Times New Roman" w:cs="Times New Roman"/>
          <w:szCs w:val="24"/>
        </w:rPr>
        <w:t xml:space="preserve"> referral agency, to communicate the consumer's decision to all senior living communities to which the referral agency has referred the consumer. </w:t>
      </w:r>
    </w:p>
    <w:p w:rsidR="00164113" w:rsidRPr="004B3D45" w:rsidRDefault="00164113" w:rsidP="00164113">
      <w:pPr>
        <w:spacing w:after="0" w:line="240" w:lineRule="auto"/>
        <w:ind w:left="1440"/>
        <w:jc w:val="both"/>
        <w:rPr>
          <w:rFonts w:eastAsia="Times New Roman" w:cs="Times New Roman"/>
          <w:szCs w:val="24"/>
          <w:highlight w:val="yellow"/>
        </w:rPr>
      </w:pPr>
    </w:p>
    <w:p w:rsidR="00164113" w:rsidRPr="004B3D45" w:rsidRDefault="00164113" w:rsidP="00164113">
      <w:pPr>
        <w:spacing w:after="0" w:line="240" w:lineRule="auto"/>
        <w:ind w:left="720"/>
        <w:jc w:val="both"/>
        <w:rPr>
          <w:rFonts w:eastAsia="Times New Roman" w:cs="Times New Roman"/>
          <w:szCs w:val="24"/>
          <w:highlight w:val="yellow"/>
        </w:rPr>
      </w:pPr>
      <w:r w:rsidRPr="004B3D45">
        <w:rPr>
          <w:rFonts w:eastAsia="Times New Roman" w:cs="Times New Roman"/>
          <w:szCs w:val="24"/>
        </w:rPr>
        <w:t xml:space="preserve">Sec. 121.003. REFERRAL AGENCY PROHIBITED CONDUCT. Prohibits a referral agency from referring a consumer to a senior living community in which the referral agency has an ownership, management, or financial interest, holding a power of attorney for a consumer or holding a consumer's property in any capacity, knowingly referring a consumer to a senior living community that is unlicensed and is not exempt from licensing under applicable law, collecting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 collecting a referral fee after the expiration of the referral according to the contract between the referral agency and the senior living community. </w:t>
      </w:r>
    </w:p>
    <w:p w:rsidR="00164113" w:rsidRPr="004B3D45" w:rsidRDefault="00164113" w:rsidP="00164113">
      <w:pPr>
        <w:spacing w:after="0" w:line="240" w:lineRule="auto"/>
        <w:ind w:left="720"/>
        <w:jc w:val="both"/>
        <w:rPr>
          <w:rFonts w:eastAsia="Times New Roman" w:cs="Times New Roman"/>
          <w:szCs w:val="24"/>
          <w:highlight w:val="yellow"/>
        </w:rPr>
      </w:pPr>
    </w:p>
    <w:p w:rsidR="00164113" w:rsidRPr="004B3D45" w:rsidRDefault="00164113" w:rsidP="00164113">
      <w:pPr>
        <w:spacing w:after="0" w:line="240" w:lineRule="auto"/>
        <w:ind w:left="720"/>
        <w:jc w:val="both"/>
        <w:rPr>
          <w:rFonts w:eastAsia="Times New Roman" w:cs="Times New Roman"/>
          <w:szCs w:val="24"/>
        </w:rPr>
      </w:pPr>
      <w:r w:rsidRPr="004B3D45">
        <w:rPr>
          <w:rFonts w:eastAsia="Times New Roman" w:cs="Times New Roman"/>
          <w:szCs w:val="24"/>
        </w:rPr>
        <w:t>Sec. 121.004. DUTIES. Requires a referral agency to</w:t>
      </w:r>
      <w:r>
        <w:rPr>
          <w:rFonts w:eastAsia="Times New Roman" w:cs="Times New Roman"/>
          <w:szCs w:val="24"/>
        </w:rPr>
        <w:t xml:space="preserve">: </w:t>
      </w:r>
    </w:p>
    <w:p w:rsidR="00164113" w:rsidRPr="004B3D45" w:rsidRDefault="00164113" w:rsidP="00164113">
      <w:pPr>
        <w:spacing w:after="0" w:line="240" w:lineRule="auto"/>
        <w:ind w:left="720"/>
        <w:jc w:val="both"/>
        <w:rPr>
          <w:rFonts w:eastAsia="Times New Roman" w:cs="Times New Roman"/>
          <w:szCs w:val="24"/>
        </w:rPr>
      </w:pPr>
    </w:p>
    <w:p w:rsidR="00164113" w:rsidRPr="004B3D45" w:rsidRDefault="00164113" w:rsidP="00164113">
      <w:pPr>
        <w:spacing w:after="0" w:line="240" w:lineRule="auto"/>
        <w:ind w:left="1440"/>
        <w:jc w:val="both"/>
        <w:rPr>
          <w:rFonts w:eastAsia="Times New Roman" w:cs="Times New Roman"/>
          <w:szCs w:val="24"/>
        </w:rPr>
      </w:pPr>
      <w:r w:rsidRPr="004B3D45">
        <w:rPr>
          <w:rFonts w:eastAsia="Times New Roman" w:cs="Times New Roman"/>
          <w:szCs w:val="24"/>
        </w:rPr>
        <w:t xml:space="preserve">(1) use a nationally accredited service provider to obtain criminal history record information of a new employee of the referral agency who will have direct contact with a consumer and a referral agency employee who physically enters a senior living community for the purpose of making a referral to a consumer; </w:t>
      </w:r>
    </w:p>
    <w:p w:rsidR="00164113" w:rsidRPr="004B3D45" w:rsidRDefault="00164113" w:rsidP="00164113">
      <w:pPr>
        <w:spacing w:after="0" w:line="240" w:lineRule="auto"/>
        <w:ind w:left="1440"/>
        <w:jc w:val="both"/>
        <w:rPr>
          <w:rFonts w:eastAsia="Times New Roman" w:cs="Times New Roman"/>
          <w:szCs w:val="24"/>
        </w:rPr>
      </w:pPr>
    </w:p>
    <w:p w:rsidR="00164113" w:rsidRDefault="00164113" w:rsidP="00164113">
      <w:pPr>
        <w:spacing w:after="0" w:line="240" w:lineRule="auto"/>
        <w:ind w:left="1440"/>
        <w:jc w:val="both"/>
        <w:rPr>
          <w:rFonts w:eastAsia="Times New Roman" w:cs="Times New Roman"/>
          <w:szCs w:val="24"/>
          <w:highlight w:val="yellow"/>
        </w:rPr>
      </w:pPr>
      <w:r w:rsidRPr="004B3D45">
        <w:rPr>
          <w:rFonts w:eastAsia="Times New Roman" w:cs="Times New Roman"/>
          <w:szCs w:val="24"/>
        </w:rPr>
        <w:t>(2) maintain liability insurance coverage for negligent acts or omissions by the referral agency or its employees;</w:t>
      </w:r>
    </w:p>
    <w:p w:rsidR="00164113" w:rsidRDefault="00164113" w:rsidP="00164113">
      <w:pPr>
        <w:spacing w:after="0" w:line="240" w:lineRule="auto"/>
        <w:ind w:left="1440"/>
        <w:jc w:val="both"/>
        <w:rPr>
          <w:rFonts w:eastAsia="Times New Roman" w:cs="Times New Roman"/>
          <w:szCs w:val="24"/>
          <w:highlight w:val="yellow"/>
        </w:rPr>
      </w:pPr>
    </w:p>
    <w:p w:rsidR="00164113" w:rsidRPr="004B3D45" w:rsidRDefault="00164113" w:rsidP="00164113">
      <w:pPr>
        <w:spacing w:after="0" w:line="240" w:lineRule="auto"/>
        <w:ind w:left="1440"/>
        <w:jc w:val="both"/>
        <w:rPr>
          <w:rFonts w:eastAsia="Times New Roman" w:cs="Times New Roman"/>
          <w:szCs w:val="24"/>
        </w:rPr>
      </w:pPr>
      <w:r w:rsidRPr="004B3D45">
        <w:rPr>
          <w:rFonts w:eastAsia="Times New Roman" w:cs="Times New Roman"/>
          <w:szCs w:val="24"/>
        </w:rPr>
        <w:t xml:space="preserve">(3) audit each senior living community with respect to which the referral agency provides referrals to ensure that any applicable license is in good standing and maintain a record of that audit; </w:t>
      </w:r>
    </w:p>
    <w:p w:rsidR="00164113" w:rsidRPr="004B3D45" w:rsidRDefault="00164113" w:rsidP="00164113">
      <w:pPr>
        <w:spacing w:after="0" w:line="240" w:lineRule="auto"/>
        <w:ind w:left="1440"/>
        <w:jc w:val="both"/>
        <w:rPr>
          <w:rFonts w:eastAsia="Times New Roman" w:cs="Times New Roman"/>
          <w:szCs w:val="24"/>
        </w:rPr>
      </w:pPr>
    </w:p>
    <w:p w:rsidR="00164113" w:rsidRDefault="00164113" w:rsidP="00164113">
      <w:pPr>
        <w:spacing w:after="0" w:line="240" w:lineRule="auto"/>
        <w:ind w:left="1440"/>
        <w:jc w:val="both"/>
        <w:rPr>
          <w:rFonts w:eastAsia="Times New Roman" w:cs="Times New Roman"/>
          <w:szCs w:val="24"/>
          <w:highlight w:val="yellow"/>
        </w:rPr>
      </w:pPr>
      <w:r w:rsidRPr="004B3D45">
        <w:rPr>
          <w:rFonts w:eastAsia="Times New Roman" w:cs="Times New Roman"/>
          <w:szCs w:val="24"/>
        </w:rPr>
        <w:t>(4) provide training to all referral agency employees whose job responsibilities require direct contact with a consumer, including training on the referral agency's code of conduct, before the employee begins performing those responsibilities;</w:t>
      </w:r>
    </w:p>
    <w:p w:rsidR="00164113" w:rsidRDefault="00164113" w:rsidP="00164113">
      <w:pPr>
        <w:spacing w:after="0" w:line="240" w:lineRule="auto"/>
        <w:ind w:left="1440"/>
        <w:jc w:val="both"/>
        <w:rPr>
          <w:rFonts w:eastAsia="Times New Roman" w:cs="Times New Roman"/>
          <w:szCs w:val="24"/>
          <w:highlight w:val="yellow"/>
        </w:rPr>
      </w:pPr>
    </w:p>
    <w:p w:rsidR="00164113" w:rsidRPr="004B3D45" w:rsidRDefault="00164113" w:rsidP="00164113">
      <w:pPr>
        <w:spacing w:after="0" w:line="240" w:lineRule="auto"/>
        <w:ind w:left="1440"/>
        <w:jc w:val="both"/>
        <w:rPr>
          <w:rFonts w:eastAsia="Times New Roman" w:cs="Times New Roman"/>
          <w:szCs w:val="24"/>
        </w:rPr>
      </w:pPr>
      <w:r w:rsidRPr="004B3D45">
        <w:rPr>
          <w:rFonts w:eastAsia="Times New Roman" w:cs="Times New Roman"/>
          <w:szCs w:val="24"/>
        </w:rPr>
        <w:t>(5) 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facility; and</w:t>
      </w:r>
    </w:p>
    <w:p w:rsidR="00164113" w:rsidRPr="004B3D45" w:rsidRDefault="00164113" w:rsidP="00164113">
      <w:pPr>
        <w:spacing w:after="0" w:line="240" w:lineRule="auto"/>
        <w:ind w:left="1440"/>
        <w:jc w:val="both"/>
        <w:rPr>
          <w:rFonts w:eastAsia="Times New Roman" w:cs="Times New Roman"/>
          <w:szCs w:val="24"/>
        </w:rPr>
      </w:pPr>
    </w:p>
    <w:p w:rsidR="00164113" w:rsidRPr="004B3D45" w:rsidRDefault="00164113" w:rsidP="00164113">
      <w:pPr>
        <w:spacing w:after="0" w:line="240" w:lineRule="auto"/>
        <w:ind w:left="1440"/>
        <w:jc w:val="both"/>
        <w:rPr>
          <w:rFonts w:eastAsia="Times New Roman" w:cs="Times New Roman"/>
          <w:szCs w:val="24"/>
          <w:highlight w:val="yellow"/>
        </w:rPr>
      </w:pPr>
      <w:r w:rsidRPr="004B3D45">
        <w:rPr>
          <w:rFonts w:eastAsia="Times New Roman" w:cs="Times New Roman"/>
          <w:szCs w:val="24"/>
        </w:rPr>
        <w:t>(6) if a referral agency enters into a contract with a senior living community, specify in the contract the period within which the senior living community is required to pay the referral agency, not to exceed three years after the date the referral agency provided a consumer a referral to the senior living community.</w:t>
      </w:r>
    </w:p>
    <w:p w:rsidR="00164113" w:rsidRPr="004B3D45" w:rsidRDefault="00164113" w:rsidP="00164113">
      <w:pPr>
        <w:spacing w:after="0" w:line="240" w:lineRule="auto"/>
        <w:ind w:left="720"/>
        <w:jc w:val="both"/>
        <w:rPr>
          <w:rFonts w:eastAsia="Times New Roman" w:cs="Times New Roman"/>
          <w:szCs w:val="24"/>
          <w:highlight w:val="yellow"/>
        </w:rPr>
      </w:pPr>
    </w:p>
    <w:p w:rsidR="00164113" w:rsidRPr="004B3D45" w:rsidRDefault="00164113" w:rsidP="00164113">
      <w:pPr>
        <w:spacing w:after="0" w:line="240" w:lineRule="auto"/>
        <w:ind w:left="720"/>
        <w:jc w:val="both"/>
        <w:rPr>
          <w:rFonts w:eastAsia="Times New Roman" w:cs="Times New Roman"/>
          <w:szCs w:val="24"/>
        </w:rPr>
      </w:pPr>
      <w:r w:rsidRPr="004B3D45">
        <w:rPr>
          <w:rFonts w:eastAsia="Times New Roman" w:cs="Times New Roman"/>
          <w:szCs w:val="24"/>
        </w:rPr>
        <w:t xml:space="preserve">Sec. 121.005. COMPENSATION. (a) Authorizes a written contract entered into between a referral agency and a senior living community to provide for the compensation of a referral agency for all referrals made with respect to a senior living community, and the amount of compensation to be based on the volume or value of referrals made by the referral agency or business generated between the parties. </w:t>
      </w:r>
    </w:p>
    <w:p w:rsidR="00164113" w:rsidRPr="004B3D45" w:rsidRDefault="00164113" w:rsidP="00164113">
      <w:pPr>
        <w:spacing w:after="0" w:line="240" w:lineRule="auto"/>
        <w:ind w:left="720"/>
        <w:jc w:val="both"/>
        <w:rPr>
          <w:rFonts w:eastAsia="Times New Roman" w:cs="Times New Roman"/>
          <w:szCs w:val="24"/>
        </w:rPr>
      </w:pPr>
    </w:p>
    <w:p w:rsidR="00164113" w:rsidRDefault="00164113" w:rsidP="00164113">
      <w:pPr>
        <w:spacing w:after="0" w:line="240" w:lineRule="auto"/>
        <w:ind w:left="1440"/>
        <w:jc w:val="both"/>
        <w:rPr>
          <w:rFonts w:eastAsia="Times New Roman" w:cs="Times New Roman"/>
          <w:szCs w:val="24"/>
        </w:rPr>
      </w:pPr>
      <w:r w:rsidRPr="004B3D45">
        <w:rPr>
          <w:rFonts w:eastAsia="Times New Roman" w:cs="Times New Roman"/>
          <w:szCs w:val="24"/>
        </w:rPr>
        <w:t xml:space="preserve">(b) Provides that, notwithstanding any other law, compensation paid to a referral agency that is in compliance with this section is not grounds for disciplinary action against a senior living community. </w:t>
      </w:r>
    </w:p>
    <w:p w:rsidR="00164113" w:rsidRDefault="00164113" w:rsidP="00164113">
      <w:pPr>
        <w:spacing w:after="0" w:line="240" w:lineRule="auto"/>
        <w:ind w:left="1440"/>
        <w:jc w:val="both"/>
        <w:rPr>
          <w:rFonts w:eastAsia="Times New Roman" w:cs="Times New Roman"/>
          <w:szCs w:val="24"/>
        </w:rPr>
      </w:pPr>
    </w:p>
    <w:p w:rsidR="00164113" w:rsidRPr="004B3D45" w:rsidRDefault="00164113" w:rsidP="00164113">
      <w:pPr>
        <w:spacing w:after="0" w:line="240" w:lineRule="auto"/>
        <w:ind w:left="1440"/>
        <w:jc w:val="both"/>
        <w:rPr>
          <w:rFonts w:eastAsia="Times New Roman" w:cs="Times New Roman"/>
          <w:szCs w:val="24"/>
          <w:highlight w:val="yellow"/>
        </w:rPr>
      </w:pPr>
      <w:r>
        <w:rPr>
          <w:rFonts w:eastAsia="Times New Roman" w:cs="Times New Roman"/>
          <w:szCs w:val="24"/>
        </w:rPr>
        <w:t>(c) Prohibits a referral agency from offering or entering into a contract authorized under this section for compensation prohibited under 42 U.S.C. Section 1320a-7b or any other federal law or rule.</w:t>
      </w:r>
    </w:p>
    <w:p w:rsidR="00164113" w:rsidRPr="004B3D45" w:rsidRDefault="00164113" w:rsidP="00164113">
      <w:pPr>
        <w:spacing w:after="0" w:line="240" w:lineRule="auto"/>
        <w:ind w:left="720"/>
        <w:jc w:val="both"/>
        <w:rPr>
          <w:rFonts w:eastAsia="Times New Roman" w:cs="Times New Roman"/>
          <w:szCs w:val="24"/>
          <w:highlight w:val="yellow"/>
        </w:rPr>
      </w:pPr>
    </w:p>
    <w:p w:rsidR="00164113" w:rsidRDefault="00164113" w:rsidP="00164113">
      <w:pPr>
        <w:spacing w:after="0" w:line="240" w:lineRule="auto"/>
        <w:ind w:left="720"/>
        <w:jc w:val="both"/>
        <w:rPr>
          <w:rFonts w:eastAsia="Times New Roman" w:cs="Times New Roman"/>
          <w:szCs w:val="24"/>
        </w:rPr>
      </w:pPr>
      <w:r w:rsidRPr="004B3D45">
        <w:rPr>
          <w:rFonts w:eastAsia="Times New Roman" w:cs="Times New Roman"/>
          <w:szCs w:val="24"/>
        </w:rPr>
        <w:t>Sec. 121.006. EFFECT OF LAW. Provides that this chapter does not affect the application of any other law that regulates a senior living community or abrogate any other defense, remedy, immunity, or privilege available under the Constitution of the United States or this state or as provided by any statute, case, or common law or rule.</w:t>
      </w:r>
      <w:r>
        <w:rPr>
          <w:rFonts w:eastAsia="Times New Roman" w:cs="Times New Roman"/>
          <w:szCs w:val="24"/>
        </w:rPr>
        <w:t xml:space="preserve"> </w:t>
      </w:r>
    </w:p>
    <w:p w:rsidR="00164113" w:rsidRDefault="00164113" w:rsidP="00164113">
      <w:pPr>
        <w:spacing w:after="0" w:line="240" w:lineRule="auto"/>
        <w:ind w:left="720"/>
        <w:jc w:val="both"/>
        <w:rPr>
          <w:rFonts w:eastAsia="Times New Roman" w:cs="Times New Roman"/>
          <w:szCs w:val="24"/>
        </w:rPr>
      </w:pPr>
    </w:p>
    <w:p w:rsidR="00164113" w:rsidRDefault="00164113" w:rsidP="00164113">
      <w:pPr>
        <w:spacing w:after="0" w:line="240" w:lineRule="auto"/>
        <w:jc w:val="both"/>
        <w:rPr>
          <w:rFonts w:eastAsia="Times New Roman" w:cs="Times New Roman"/>
          <w:szCs w:val="24"/>
        </w:rPr>
      </w:pPr>
      <w:r w:rsidRPr="004B3D45">
        <w:rPr>
          <w:rFonts w:eastAsia="Times New Roman" w:cs="Times New Roman"/>
          <w:szCs w:val="24"/>
        </w:rPr>
        <w:t xml:space="preserve">SECTION 2. Amends Section 102.005, Occupations Code, as follows: </w:t>
      </w:r>
    </w:p>
    <w:p w:rsidR="00164113" w:rsidRDefault="00164113" w:rsidP="00164113">
      <w:pPr>
        <w:spacing w:after="0" w:line="240" w:lineRule="auto"/>
        <w:jc w:val="both"/>
        <w:rPr>
          <w:rFonts w:eastAsia="Times New Roman" w:cs="Times New Roman"/>
          <w:szCs w:val="24"/>
        </w:rPr>
      </w:pPr>
    </w:p>
    <w:p w:rsidR="00164113" w:rsidRDefault="00164113" w:rsidP="00164113">
      <w:pPr>
        <w:spacing w:after="0" w:line="240" w:lineRule="auto"/>
        <w:ind w:left="720"/>
        <w:jc w:val="both"/>
        <w:rPr>
          <w:rFonts w:eastAsia="Times New Roman" w:cs="Times New Roman"/>
          <w:szCs w:val="24"/>
        </w:rPr>
      </w:pPr>
      <w:r w:rsidRPr="004B3D45">
        <w:rPr>
          <w:rFonts w:eastAsia="Times New Roman" w:cs="Times New Roman"/>
          <w:szCs w:val="24"/>
        </w:rPr>
        <w:t xml:space="preserve">Sec. 102.005. APPLICABILITY TO CERTAIN ENTITIES. Provides that Section 102.001 (Soliciting Patients; Offense) does not apply to certain entities, including a referral agency as defined by Section 121.001, Business &amp; Commerce Code. Makes nonsubstantive changes. </w:t>
      </w:r>
    </w:p>
    <w:p w:rsidR="00164113" w:rsidRDefault="00164113" w:rsidP="00164113">
      <w:pPr>
        <w:spacing w:after="0" w:line="240" w:lineRule="auto"/>
        <w:jc w:val="both"/>
        <w:rPr>
          <w:rFonts w:eastAsia="Times New Roman" w:cs="Times New Roman"/>
          <w:szCs w:val="24"/>
        </w:rPr>
      </w:pPr>
    </w:p>
    <w:p w:rsidR="00164113" w:rsidRDefault="00164113" w:rsidP="00164113">
      <w:pPr>
        <w:spacing w:after="0" w:line="240" w:lineRule="auto"/>
        <w:jc w:val="both"/>
        <w:rPr>
          <w:rFonts w:eastAsia="Times New Roman" w:cs="Times New Roman"/>
          <w:szCs w:val="24"/>
        </w:rPr>
      </w:pPr>
      <w:r w:rsidRPr="004B3D45">
        <w:rPr>
          <w:rFonts w:eastAsia="Times New Roman" w:cs="Times New Roman"/>
          <w:szCs w:val="24"/>
        </w:rPr>
        <w:t>SECTION 3. Effective date: upon passage or September 1, 2025.</w:t>
      </w:r>
    </w:p>
    <w:p w:rsidR="00164113" w:rsidRPr="00C8671F" w:rsidRDefault="00164113" w:rsidP="00164113">
      <w:pPr>
        <w:spacing w:after="0" w:line="240" w:lineRule="auto"/>
        <w:ind w:left="720"/>
        <w:jc w:val="both"/>
        <w:rPr>
          <w:rFonts w:eastAsia="Times New Roman" w:cs="Times New Roman"/>
          <w:szCs w:val="24"/>
        </w:rPr>
      </w:pPr>
    </w:p>
    <w:sectPr w:rsidR="0016411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44AB" w:rsidRDefault="003044AB" w:rsidP="000F1DF9">
      <w:pPr>
        <w:spacing w:after="0" w:line="240" w:lineRule="auto"/>
      </w:pPr>
      <w:r>
        <w:separator/>
      </w:r>
    </w:p>
  </w:endnote>
  <w:endnote w:type="continuationSeparator" w:id="0">
    <w:p w:rsidR="003044AB" w:rsidRDefault="003044A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044A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64113">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64113">
                <w:rPr>
                  <w:sz w:val="20"/>
                  <w:szCs w:val="20"/>
                </w:rPr>
                <w:t>S.B. 1383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6411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044A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44AB" w:rsidRDefault="003044AB" w:rsidP="000F1DF9">
      <w:pPr>
        <w:spacing w:after="0" w:line="240" w:lineRule="auto"/>
      </w:pPr>
      <w:r>
        <w:separator/>
      </w:r>
    </w:p>
  </w:footnote>
  <w:footnote w:type="continuationSeparator" w:id="0">
    <w:p w:rsidR="003044AB" w:rsidRDefault="003044A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4113"/>
    <w:rsid w:val="002355A9"/>
    <w:rsid w:val="00257C49"/>
    <w:rsid w:val="003044AB"/>
    <w:rsid w:val="00305C27"/>
    <w:rsid w:val="00330BDA"/>
    <w:rsid w:val="0034346C"/>
    <w:rsid w:val="00376DD2"/>
    <w:rsid w:val="00382704"/>
    <w:rsid w:val="003A2368"/>
    <w:rsid w:val="003D3676"/>
    <w:rsid w:val="00404760"/>
    <w:rsid w:val="0045110C"/>
    <w:rsid w:val="00474D39"/>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581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0D02E"/>
  <w15:docId w15:val="{F9689B8C-72F2-4E24-A08A-BC46122A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6411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80233">
      <w:bodyDiv w:val="1"/>
      <w:marLeft w:val="0"/>
      <w:marRight w:val="0"/>
      <w:marTop w:val="0"/>
      <w:marBottom w:val="0"/>
      <w:divBdr>
        <w:top w:val="none" w:sz="0" w:space="0" w:color="auto"/>
        <w:left w:val="none" w:sz="0" w:space="0" w:color="auto"/>
        <w:bottom w:val="none" w:sz="0" w:space="0" w:color="auto"/>
        <w:right w:val="none" w:sz="0" w:space="0" w:color="auto"/>
      </w:divBdr>
      <w:divsChild>
        <w:div w:id="2054187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12ABCA252FA4B9583A14EDB4AD8F2BB"/>
        <w:category>
          <w:name w:val="General"/>
          <w:gallery w:val="placeholder"/>
        </w:category>
        <w:types>
          <w:type w:val="bbPlcHdr"/>
        </w:types>
        <w:behaviors>
          <w:behavior w:val="content"/>
        </w:behaviors>
        <w:guid w:val="{FFAFD5C0-A532-4679-AD16-702247E61B18}"/>
      </w:docPartPr>
      <w:docPartBody>
        <w:p w:rsidR="00E61B0C" w:rsidRDefault="00E61B0C"/>
      </w:docPartBody>
    </w:docPart>
    <w:docPart>
      <w:docPartPr>
        <w:name w:val="BD25B8472F2B407A995DBFBFB1A89D5C"/>
        <w:category>
          <w:name w:val="General"/>
          <w:gallery w:val="placeholder"/>
        </w:category>
        <w:types>
          <w:type w:val="bbPlcHdr"/>
        </w:types>
        <w:behaviors>
          <w:behavior w:val="content"/>
        </w:behaviors>
        <w:guid w:val="{A6284670-34EE-420A-B72C-98EAC09907D9}"/>
      </w:docPartPr>
      <w:docPartBody>
        <w:p w:rsidR="00E61B0C" w:rsidRDefault="00E61B0C"/>
      </w:docPartBody>
    </w:docPart>
    <w:docPart>
      <w:docPartPr>
        <w:name w:val="9A40F42C6F234652BE194022A414AD14"/>
        <w:category>
          <w:name w:val="General"/>
          <w:gallery w:val="placeholder"/>
        </w:category>
        <w:types>
          <w:type w:val="bbPlcHdr"/>
        </w:types>
        <w:behaviors>
          <w:behavior w:val="content"/>
        </w:behaviors>
        <w:guid w:val="{08567546-C52D-4448-9BCA-EE09514B6BC8}"/>
      </w:docPartPr>
      <w:docPartBody>
        <w:p w:rsidR="00E61B0C" w:rsidRDefault="00E61B0C"/>
      </w:docPartBody>
    </w:docPart>
    <w:docPart>
      <w:docPartPr>
        <w:name w:val="5EB33AD8DCAD4D2AB71FE140A29B433B"/>
        <w:category>
          <w:name w:val="General"/>
          <w:gallery w:val="placeholder"/>
        </w:category>
        <w:types>
          <w:type w:val="bbPlcHdr"/>
        </w:types>
        <w:behaviors>
          <w:behavior w:val="content"/>
        </w:behaviors>
        <w:guid w:val="{70FBF522-C322-4A6F-AE1C-7294EB890350}"/>
      </w:docPartPr>
      <w:docPartBody>
        <w:p w:rsidR="00E61B0C" w:rsidRDefault="00E61B0C"/>
      </w:docPartBody>
    </w:docPart>
    <w:docPart>
      <w:docPartPr>
        <w:name w:val="68FD2AE5E26247B58D6B279446C3AB45"/>
        <w:category>
          <w:name w:val="General"/>
          <w:gallery w:val="placeholder"/>
        </w:category>
        <w:types>
          <w:type w:val="bbPlcHdr"/>
        </w:types>
        <w:behaviors>
          <w:behavior w:val="content"/>
        </w:behaviors>
        <w:guid w:val="{EB3E7993-E891-485C-94F7-EDF4166BB395}"/>
      </w:docPartPr>
      <w:docPartBody>
        <w:p w:rsidR="00E61B0C" w:rsidRDefault="00E61B0C"/>
      </w:docPartBody>
    </w:docPart>
    <w:docPart>
      <w:docPartPr>
        <w:name w:val="B30AF7AF4DE74CD79D34D3A1AEFF226F"/>
        <w:category>
          <w:name w:val="General"/>
          <w:gallery w:val="placeholder"/>
        </w:category>
        <w:types>
          <w:type w:val="bbPlcHdr"/>
        </w:types>
        <w:behaviors>
          <w:behavior w:val="content"/>
        </w:behaviors>
        <w:guid w:val="{7E32EF4D-DBBA-4D6A-A134-9CD6091322D1}"/>
      </w:docPartPr>
      <w:docPartBody>
        <w:p w:rsidR="00E61B0C" w:rsidRDefault="00E61B0C"/>
      </w:docPartBody>
    </w:docPart>
    <w:docPart>
      <w:docPartPr>
        <w:name w:val="37EF2AD23E864E8DB9B3BB45EAEBA561"/>
        <w:category>
          <w:name w:val="General"/>
          <w:gallery w:val="placeholder"/>
        </w:category>
        <w:types>
          <w:type w:val="bbPlcHdr"/>
        </w:types>
        <w:behaviors>
          <w:behavior w:val="content"/>
        </w:behaviors>
        <w:guid w:val="{5B385FEB-737C-4235-98BD-30A302977F5C}"/>
      </w:docPartPr>
      <w:docPartBody>
        <w:p w:rsidR="00E61B0C" w:rsidRDefault="00E61B0C"/>
      </w:docPartBody>
    </w:docPart>
    <w:docPart>
      <w:docPartPr>
        <w:name w:val="91A287B082324CF99AF6482738A78458"/>
        <w:category>
          <w:name w:val="General"/>
          <w:gallery w:val="placeholder"/>
        </w:category>
        <w:types>
          <w:type w:val="bbPlcHdr"/>
        </w:types>
        <w:behaviors>
          <w:behavior w:val="content"/>
        </w:behaviors>
        <w:guid w:val="{1F181D17-35B8-41E8-AF37-A0DEF90A500E}"/>
      </w:docPartPr>
      <w:docPartBody>
        <w:p w:rsidR="00E61B0C" w:rsidRDefault="00E61B0C"/>
      </w:docPartBody>
    </w:docPart>
    <w:docPart>
      <w:docPartPr>
        <w:name w:val="B47E757541A3452BAB46C474F4F18CEB"/>
        <w:category>
          <w:name w:val="General"/>
          <w:gallery w:val="placeholder"/>
        </w:category>
        <w:types>
          <w:type w:val="bbPlcHdr"/>
        </w:types>
        <w:behaviors>
          <w:behavior w:val="content"/>
        </w:behaviors>
        <w:guid w:val="{1D6DCD31-934B-4DD4-9E2D-5D37338E59CD}"/>
      </w:docPartPr>
      <w:docPartBody>
        <w:p w:rsidR="00E61B0C" w:rsidRDefault="00E61B0C"/>
      </w:docPartBody>
    </w:docPart>
    <w:docPart>
      <w:docPartPr>
        <w:name w:val="DD3EDDDA693649068CF0D916CCE0B7DA"/>
        <w:category>
          <w:name w:val="General"/>
          <w:gallery w:val="placeholder"/>
        </w:category>
        <w:types>
          <w:type w:val="bbPlcHdr"/>
        </w:types>
        <w:behaviors>
          <w:behavior w:val="content"/>
        </w:behaviors>
        <w:guid w:val="{A0704631-E581-4294-9D73-799E14C6926B}"/>
      </w:docPartPr>
      <w:docPartBody>
        <w:p w:rsidR="00E61B0C" w:rsidRDefault="00497C44" w:rsidP="00497C44">
          <w:pPr>
            <w:pStyle w:val="DD3EDDDA693649068CF0D916CCE0B7DA"/>
          </w:pPr>
          <w:r w:rsidRPr="00A30DD1">
            <w:rPr>
              <w:rStyle w:val="PlaceholderText"/>
            </w:rPr>
            <w:t>Click here to enter a date.</w:t>
          </w:r>
        </w:p>
      </w:docPartBody>
    </w:docPart>
    <w:docPart>
      <w:docPartPr>
        <w:name w:val="EA06DEFC42CD4AC98CB777ECDA375B7D"/>
        <w:category>
          <w:name w:val="General"/>
          <w:gallery w:val="placeholder"/>
        </w:category>
        <w:types>
          <w:type w:val="bbPlcHdr"/>
        </w:types>
        <w:behaviors>
          <w:behavior w:val="content"/>
        </w:behaviors>
        <w:guid w:val="{309B1F82-18AC-4360-9953-546335D9BE94}"/>
      </w:docPartPr>
      <w:docPartBody>
        <w:p w:rsidR="00E61B0C" w:rsidRDefault="00E61B0C"/>
      </w:docPartBody>
    </w:docPart>
    <w:docPart>
      <w:docPartPr>
        <w:name w:val="7A6FFCEA2CAB404AB871CF1B5C2FC8BA"/>
        <w:category>
          <w:name w:val="General"/>
          <w:gallery w:val="placeholder"/>
        </w:category>
        <w:types>
          <w:type w:val="bbPlcHdr"/>
        </w:types>
        <w:behaviors>
          <w:behavior w:val="content"/>
        </w:behaviors>
        <w:guid w:val="{2D4D3A50-3D71-4A8E-A4DD-73AFAB595151}"/>
      </w:docPartPr>
      <w:docPartBody>
        <w:p w:rsidR="00E61B0C" w:rsidRDefault="00E61B0C"/>
      </w:docPartBody>
    </w:docPart>
    <w:docPart>
      <w:docPartPr>
        <w:name w:val="6561B6D86BD74193B3630D13981DD788"/>
        <w:category>
          <w:name w:val="General"/>
          <w:gallery w:val="placeholder"/>
        </w:category>
        <w:types>
          <w:type w:val="bbPlcHdr"/>
        </w:types>
        <w:behaviors>
          <w:behavior w:val="content"/>
        </w:behaviors>
        <w:guid w:val="{B2B96957-1F85-4532-801C-B14C1DAB10BC}"/>
      </w:docPartPr>
      <w:docPartBody>
        <w:p w:rsidR="00E61B0C" w:rsidRDefault="00497C44" w:rsidP="00497C44">
          <w:pPr>
            <w:pStyle w:val="6561B6D86BD74193B3630D13981DD788"/>
          </w:pPr>
          <w:r>
            <w:rPr>
              <w:rFonts w:eastAsia="Times New Roman" w:cs="Times New Roman"/>
              <w:bCs/>
            </w:rPr>
            <w:t xml:space="preserve"> </w:t>
          </w:r>
        </w:p>
      </w:docPartBody>
    </w:docPart>
    <w:docPart>
      <w:docPartPr>
        <w:name w:val="D2423849313242C79FF63D212570E42F"/>
        <w:category>
          <w:name w:val="General"/>
          <w:gallery w:val="placeholder"/>
        </w:category>
        <w:types>
          <w:type w:val="bbPlcHdr"/>
        </w:types>
        <w:behaviors>
          <w:behavior w:val="content"/>
        </w:behaviors>
        <w:guid w:val="{27C4E3C7-B1B2-4AB0-B365-6F12FF78EFDF}"/>
      </w:docPartPr>
      <w:docPartBody>
        <w:p w:rsidR="00E61B0C" w:rsidRDefault="00E61B0C"/>
      </w:docPartBody>
    </w:docPart>
    <w:docPart>
      <w:docPartPr>
        <w:name w:val="2C9E8A1762C54E2887EFC9CB24A9945E"/>
        <w:category>
          <w:name w:val="General"/>
          <w:gallery w:val="placeholder"/>
        </w:category>
        <w:types>
          <w:type w:val="bbPlcHdr"/>
        </w:types>
        <w:behaviors>
          <w:behavior w:val="content"/>
        </w:behaviors>
        <w:guid w:val="{C5BA4095-8E4B-41DB-8C4F-8971B6DE4F5F}"/>
      </w:docPartPr>
      <w:docPartBody>
        <w:p w:rsidR="00E61B0C" w:rsidRDefault="00E61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97C44"/>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1B0C"/>
    <w:rsid w:val="00E65C8A"/>
    <w:rsid w:val="00EE581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7C44"/>
    <w:rPr>
      <w:color w:val="808080"/>
    </w:rPr>
  </w:style>
  <w:style w:type="paragraph" w:customStyle="1" w:styleId="DD3EDDDA693649068CF0D916CCE0B7DA">
    <w:name w:val="DD3EDDDA693649068CF0D916CCE0B7DA"/>
    <w:rsid w:val="00497C44"/>
    <w:pPr>
      <w:spacing w:after="160" w:line="278" w:lineRule="auto"/>
    </w:pPr>
    <w:rPr>
      <w:kern w:val="2"/>
      <w:sz w:val="24"/>
      <w:szCs w:val="24"/>
      <w14:ligatures w14:val="standardContextual"/>
    </w:rPr>
  </w:style>
  <w:style w:type="paragraph" w:customStyle="1" w:styleId="6561B6D86BD74193B3630D13981DD788">
    <w:name w:val="6561B6D86BD74193B3630D13981DD788"/>
    <w:rsid w:val="00497C4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1100</Words>
  <Characters>6271</Characters>
  <Application>Microsoft Office Word</Application>
  <DocSecurity>0</DocSecurity>
  <Lines>52</Lines>
  <Paragraphs>14</Paragraphs>
  <ScaleCrop>false</ScaleCrop>
  <Company>Texas Legislative Council</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2025-06-10T14:55:00Z</dcterms:modified>
</cp:coreProperties>
</file>

<file path=docProps/custom.xml><?xml version="1.0" encoding="utf-8"?>
<op:Properties xmlns:vt="http://schemas.openxmlformats.org/officeDocument/2006/docPropsVTypes" xmlns:op="http://schemas.openxmlformats.org/officeDocument/2006/custom-properties"/>
</file>