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B5DAF" w14:paraId="1A45DC20" w14:textId="77777777" w:rsidTr="00345119">
        <w:tc>
          <w:tcPr>
            <w:tcW w:w="9576" w:type="dxa"/>
            <w:noWrap/>
          </w:tcPr>
          <w:p w14:paraId="55B19FA2" w14:textId="77777777" w:rsidR="008423E4" w:rsidRPr="0022177D" w:rsidRDefault="000176C9" w:rsidP="004E239B">
            <w:pPr>
              <w:pStyle w:val="Heading1"/>
            </w:pPr>
            <w:r w:rsidRPr="00631897">
              <w:t>BILL ANALYSIS</w:t>
            </w:r>
          </w:p>
        </w:tc>
      </w:tr>
    </w:tbl>
    <w:p w14:paraId="051A7C0A" w14:textId="77777777" w:rsidR="008423E4" w:rsidRPr="0022177D" w:rsidRDefault="008423E4" w:rsidP="004E239B">
      <w:pPr>
        <w:jc w:val="center"/>
      </w:pPr>
    </w:p>
    <w:p w14:paraId="641538E3" w14:textId="77777777" w:rsidR="008423E4" w:rsidRPr="00B31F0E" w:rsidRDefault="008423E4" w:rsidP="004E239B"/>
    <w:p w14:paraId="1D345195" w14:textId="77777777" w:rsidR="008423E4" w:rsidRPr="00742794" w:rsidRDefault="008423E4" w:rsidP="004E239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B5DAF" w14:paraId="263B5652" w14:textId="77777777" w:rsidTr="00345119">
        <w:tc>
          <w:tcPr>
            <w:tcW w:w="9576" w:type="dxa"/>
          </w:tcPr>
          <w:p w14:paraId="7B2A70EE" w14:textId="07893DB3" w:rsidR="008423E4" w:rsidRPr="00861995" w:rsidRDefault="000176C9" w:rsidP="004E239B">
            <w:pPr>
              <w:jc w:val="right"/>
            </w:pPr>
            <w:r>
              <w:t>C.S.S.B. 1535</w:t>
            </w:r>
          </w:p>
        </w:tc>
      </w:tr>
      <w:tr w:rsidR="00DB5DAF" w14:paraId="27432090" w14:textId="77777777" w:rsidTr="00345119">
        <w:tc>
          <w:tcPr>
            <w:tcW w:w="9576" w:type="dxa"/>
          </w:tcPr>
          <w:p w14:paraId="4D6B4501" w14:textId="072E8B5E" w:rsidR="008423E4" w:rsidRPr="00861995" w:rsidRDefault="000176C9" w:rsidP="004E239B">
            <w:pPr>
              <w:jc w:val="right"/>
            </w:pPr>
            <w:r>
              <w:t xml:space="preserve">By: </w:t>
            </w:r>
            <w:r w:rsidR="007A2DAE">
              <w:t>Zaffirini</w:t>
            </w:r>
          </w:p>
        </w:tc>
      </w:tr>
      <w:tr w:rsidR="00DB5DAF" w14:paraId="555F3E49" w14:textId="77777777" w:rsidTr="00345119">
        <w:tc>
          <w:tcPr>
            <w:tcW w:w="9576" w:type="dxa"/>
          </w:tcPr>
          <w:p w14:paraId="55450F0D" w14:textId="3C26D550" w:rsidR="008423E4" w:rsidRPr="00861995" w:rsidRDefault="000176C9" w:rsidP="004E239B">
            <w:pPr>
              <w:jc w:val="right"/>
            </w:pPr>
            <w:r>
              <w:t>State Affairs</w:t>
            </w:r>
          </w:p>
        </w:tc>
      </w:tr>
      <w:tr w:rsidR="00DB5DAF" w14:paraId="194DBCCC" w14:textId="77777777" w:rsidTr="00345119">
        <w:tc>
          <w:tcPr>
            <w:tcW w:w="9576" w:type="dxa"/>
          </w:tcPr>
          <w:p w14:paraId="41E56B2F" w14:textId="566E5710" w:rsidR="008423E4" w:rsidRDefault="000176C9" w:rsidP="004E239B">
            <w:pPr>
              <w:jc w:val="right"/>
            </w:pPr>
            <w:r>
              <w:t>Committee Report (Substituted)</w:t>
            </w:r>
          </w:p>
        </w:tc>
      </w:tr>
    </w:tbl>
    <w:p w14:paraId="6EFBD5FC" w14:textId="77777777" w:rsidR="008423E4" w:rsidRDefault="008423E4" w:rsidP="004E239B"/>
    <w:p w14:paraId="4E4D1BE8" w14:textId="77777777" w:rsidR="008423E4" w:rsidRDefault="008423E4" w:rsidP="004E239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B5DAF" w14:paraId="63C1FB29" w14:textId="77777777" w:rsidTr="004E239B">
        <w:tc>
          <w:tcPr>
            <w:tcW w:w="9360" w:type="dxa"/>
          </w:tcPr>
          <w:p w14:paraId="7F347AC1" w14:textId="77777777" w:rsidR="008423E4" w:rsidRPr="00A8133F" w:rsidRDefault="000176C9" w:rsidP="004E239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563866" w14:textId="77777777" w:rsidR="008423E4" w:rsidRDefault="008423E4" w:rsidP="004E239B"/>
          <w:p w14:paraId="55BE6550" w14:textId="293D17B7" w:rsidR="008423E4" w:rsidRDefault="000176C9" w:rsidP="004E23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460D4">
              <w:t xml:space="preserve">The </w:t>
            </w:r>
            <w:r w:rsidR="00EA069A">
              <w:t xml:space="preserve">bill sponsor has informed the committee that as </w:t>
            </w:r>
            <w:r w:rsidRPr="009460D4">
              <w:t xml:space="preserve">Texas' nuclear energy sector expands, employers face </w:t>
            </w:r>
            <w:r w:rsidR="00EA069A">
              <w:t xml:space="preserve">a </w:t>
            </w:r>
            <w:r w:rsidRPr="009460D4">
              <w:t>shortage of skilled workers in key fields such as nuclear-grade welding, radiological monitoring, reactor operations, and nuclear engineering.</w:t>
            </w:r>
            <w:r>
              <w:t xml:space="preserve"> </w:t>
            </w:r>
            <w:r w:rsidR="00EA069A">
              <w:t>C.S.</w:t>
            </w:r>
            <w:r w:rsidRPr="009460D4">
              <w:t>S.B. 1535</w:t>
            </w:r>
            <w:r w:rsidR="00EA069A">
              <w:t xml:space="preserve"> seeks to </w:t>
            </w:r>
            <w:r w:rsidR="00E7360D">
              <w:t xml:space="preserve">strengthen the state's nuclear workforce and </w:t>
            </w:r>
            <w:r w:rsidR="00EA069A">
              <w:t xml:space="preserve">promote the </w:t>
            </w:r>
            <w:r w:rsidR="00E7360D">
              <w:t xml:space="preserve">growth of the </w:t>
            </w:r>
            <w:r w:rsidR="00EA069A">
              <w:t xml:space="preserve">nuclear energy industry by directing the Texas Workforce Commission </w:t>
            </w:r>
            <w:r w:rsidRPr="009460D4">
              <w:t>to create a workforce development program focused on advanced nuclear energy</w:t>
            </w:r>
            <w:r w:rsidR="00EA069A">
              <w:t xml:space="preserve">. </w:t>
            </w:r>
          </w:p>
          <w:p w14:paraId="04419A1D" w14:textId="77777777" w:rsidR="008423E4" w:rsidRPr="00E26B13" w:rsidRDefault="008423E4" w:rsidP="004E239B">
            <w:pPr>
              <w:rPr>
                <w:b/>
              </w:rPr>
            </w:pPr>
          </w:p>
        </w:tc>
      </w:tr>
      <w:tr w:rsidR="00DB5DAF" w14:paraId="585A6356" w14:textId="77777777" w:rsidTr="004E239B">
        <w:tc>
          <w:tcPr>
            <w:tcW w:w="9360" w:type="dxa"/>
          </w:tcPr>
          <w:p w14:paraId="23CD4FAE" w14:textId="77777777" w:rsidR="0017725B" w:rsidRDefault="000176C9" w:rsidP="004E23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6767C63" w14:textId="77777777" w:rsidR="0017725B" w:rsidRDefault="0017725B" w:rsidP="004E239B">
            <w:pPr>
              <w:rPr>
                <w:b/>
                <w:u w:val="single"/>
              </w:rPr>
            </w:pPr>
          </w:p>
          <w:p w14:paraId="56F38983" w14:textId="57EF5CD3" w:rsidR="00E67A72" w:rsidRPr="00E67A72" w:rsidRDefault="000176C9" w:rsidP="004E239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CE7EC20" w14:textId="77777777" w:rsidR="0017725B" w:rsidRPr="0017725B" w:rsidRDefault="0017725B" w:rsidP="004E239B">
            <w:pPr>
              <w:rPr>
                <w:b/>
                <w:u w:val="single"/>
              </w:rPr>
            </w:pPr>
          </w:p>
        </w:tc>
      </w:tr>
      <w:tr w:rsidR="00DB5DAF" w14:paraId="107A1CD6" w14:textId="77777777" w:rsidTr="004E239B">
        <w:tc>
          <w:tcPr>
            <w:tcW w:w="9360" w:type="dxa"/>
          </w:tcPr>
          <w:p w14:paraId="1EA1C0AC" w14:textId="77777777" w:rsidR="008423E4" w:rsidRPr="00A8133F" w:rsidRDefault="000176C9" w:rsidP="004E239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E694593" w14:textId="77777777" w:rsidR="008423E4" w:rsidRDefault="008423E4" w:rsidP="004E239B"/>
          <w:p w14:paraId="0EE1C054" w14:textId="79FD75DF" w:rsidR="00E67A72" w:rsidRDefault="000176C9" w:rsidP="004E23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Workforce Commission in SECTION 1 of this bill.</w:t>
            </w:r>
          </w:p>
          <w:p w14:paraId="5769CA13" w14:textId="77777777" w:rsidR="008423E4" w:rsidRPr="00E21FDC" w:rsidRDefault="008423E4" w:rsidP="004E239B">
            <w:pPr>
              <w:rPr>
                <w:b/>
              </w:rPr>
            </w:pPr>
          </w:p>
        </w:tc>
      </w:tr>
      <w:tr w:rsidR="00DB5DAF" w14:paraId="27E4EAE0" w14:textId="77777777" w:rsidTr="004E239B">
        <w:tc>
          <w:tcPr>
            <w:tcW w:w="9360" w:type="dxa"/>
          </w:tcPr>
          <w:p w14:paraId="37B100BB" w14:textId="77777777" w:rsidR="008423E4" w:rsidRPr="00A8133F" w:rsidRDefault="000176C9" w:rsidP="004E239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C75C83F" w14:textId="77777777" w:rsidR="008423E4" w:rsidRDefault="008423E4" w:rsidP="004E239B"/>
          <w:p w14:paraId="56A60210" w14:textId="008CB583" w:rsidR="0035732A" w:rsidRDefault="000176C9" w:rsidP="004E239B">
            <w:pPr>
              <w:pStyle w:val="Header"/>
              <w:jc w:val="both"/>
            </w:pPr>
            <w:r>
              <w:t>C.S.S.B. 1535 amends the Labor Code to require the Texas Workforce Commission</w:t>
            </w:r>
            <w:r w:rsidR="00EA2856">
              <w:t xml:space="preserve"> (TWC)</w:t>
            </w:r>
            <w:r>
              <w:t xml:space="preserve">, in collaboration with </w:t>
            </w:r>
            <w:r w:rsidR="00FF59C8">
              <w:t xml:space="preserve">the Texas Education Agency (TEA) and </w:t>
            </w:r>
            <w:r w:rsidRPr="0035732A">
              <w:t>the Texas Higher Education Coordinating Board</w:t>
            </w:r>
            <w:r>
              <w:t xml:space="preserve"> </w:t>
            </w:r>
            <w:r w:rsidR="00EA2856">
              <w:t xml:space="preserve">(THECB) </w:t>
            </w:r>
            <w:r>
              <w:t>and in consultation with representatives designated by the Public Utility Commission of Texas</w:t>
            </w:r>
            <w:r w:rsidR="00EA2856">
              <w:t xml:space="preserve"> </w:t>
            </w:r>
            <w:r w:rsidR="009E41F5">
              <w:t xml:space="preserve">(PUC) </w:t>
            </w:r>
            <w:r>
              <w:t>to coordinate the state's nuclear energy strategies, to establish and administer</w:t>
            </w:r>
            <w:r w:rsidR="008113D1">
              <w:t xml:space="preserve"> by rule</w:t>
            </w:r>
            <w:r>
              <w:t xml:space="preserve"> </w:t>
            </w:r>
            <w:r w:rsidRPr="00E7360D">
              <w:t>the</w:t>
            </w:r>
            <w:r>
              <w:t xml:space="preserve"> advanced nuclear energy workforce development program for the purpose of addressing urgent skilled labor demands in the advanced nuclear energy industry in Texas. The bill requires TWC to </w:t>
            </w:r>
            <w:r w:rsidR="008113D1">
              <w:t xml:space="preserve">take </w:t>
            </w:r>
            <w:r>
              <w:t>the followi</w:t>
            </w:r>
            <w:r>
              <w:t xml:space="preserve">ng </w:t>
            </w:r>
            <w:r w:rsidR="008113D1">
              <w:t xml:space="preserve">actions </w:t>
            </w:r>
            <w:r>
              <w:t>under the program:</w:t>
            </w:r>
          </w:p>
          <w:p w14:paraId="3AFDDB73" w14:textId="58FCCBAC" w:rsidR="007A2DAE" w:rsidRDefault="000176C9" w:rsidP="004E239B">
            <w:pPr>
              <w:pStyle w:val="Header"/>
              <w:numPr>
                <w:ilvl w:val="0"/>
                <w:numId w:val="6"/>
              </w:numPr>
              <w:jc w:val="both"/>
            </w:pPr>
            <w:r>
              <w:t>create a strategic plan for addressing labor supply gaps and talent retention issues in the advanced nuclear energy industry and</w:t>
            </w:r>
            <w:r w:rsidR="008113D1">
              <w:t xml:space="preserve"> for</w:t>
            </w:r>
            <w:r>
              <w:t xml:space="preserve"> providing financial assistance, including through the creation of strategic partnerships among public and private entities and advanced nuclear energy industry stakeholders, to incentivize and support</w:t>
            </w:r>
            <w:r w:rsidR="00922D92">
              <w:t xml:space="preserve"> the following</w:t>
            </w:r>
            <w:r>
              <w:t>:</w:t>
            </w:r>
          </w:p>
          <w:p w14:paraId="75718ED8" w14:textId="64CF2E4B" w:rsidR="00FF59C8" w:rsidRDefault="000176C9" w:rsidP="004E239B">
            <w:pPr>
              <w:pStyle w:val="Header"/>
              <w:numPr>
                <w:ilvl w:val="1"/>
                <w:numId w:val="6"/>
              </w:numPr>
              <w:jc w:val="both"/>
            </w:pPr>
            <w:r>
              <w:t>the development of programming and outreach efforts designed to create awareness of nuclear science and career opportunities in the field of advanced nuclear energy among public school students;</w:t>
            </w:r>
          </w:p>
          <w:p w14:paraId="5672DD01" w14:textId="27C5C233" w:rsidR="00FF59C8" w:rsidRDefault="000176C9" w:rsidP="004E239B">
            <w:pPr>
              <w:pStyle w:val="Header"/>
              <w:numPr>
                <w:ilvl w:val="1"/>
                <w:numId w:val="6"/>
              </w:numPr>
              <w:jc w:val="both"/>
            </w:pPr>
            <w:r>
              <w:t xml:space="preserve">the creation of academic pathways from secondary school to education and training programs at </w:t>
            </w:r>
            <w:r w:rsidR="008113D1" w:rsidRPr="00E7360D">
              <w:t xml:space="preserve">public </w:t>
            </w:r>
            <w:r w:rsidRPr="00E7360D">
              <w:t>institutions of higher education</w:t>
            </w:r>
            <w:r>
              <w:t xml:space="preserve"> in the field of advanced nuclear energy;</w:t>
            </w:r>
          </w:p>
          <w:p w14:paraId="37D894E2" w14:textId="10935D65" w:rsidR="007A2DAE" w:rsidRDefault="000176C9" w:rsidP="004E239B">
            <w:pPr>
              <w:pStyle w:val="Header"/>
              <w:numPr>
                <w:ilvl w:val="1"/>
                <w:numId w:val="6"/>
              </w:numPr>
              <w:jc w:val="both"/>
            </w:pPr>
            <w:r>
              <w:t xml:space="preserve">the creation by </w:t>
            </w:r>
            <w:r w:rsidRPr="00E7360D">
              <w:t>institutions of higher education</w:t>
            </w:r>
            <w:r>
              <w:t xml:space="preserve"> of education and training programs in the field of advanced nuclear energy; and </w:t>
            </w:r>
          </w:p>
          <w:p w14:paraId="0AD46E3B" w14:textId="77777777" w:rsidR="007A2DAE" w:rsidRDefault="000176C9" w:rsidP="004E239B">
            <w:pPr>
              <w:pStyle w:val="Header"/>
              <w:numPr>
                <w:ilvl w:val="1"/>
                <w:numId w:val="6"/>
              </w:numPr>
              <w:jc w:val="both"/>
            </w:pPr>
            <w:r>
              <w:t>research and leadership development in the field of advanced nuclear energy at general academic teaching institutions; and</w:t>
            </w:r>
          </w:p>
          <w:p w14:paraId="4FD05BE9" w14:textId="00729EB9" w:rsidR="007A2DAE" w:rsidRDefault="000176C9" w:rsidP="004E239B">
            <w:pPr>
              <w:pStyle w:val="Header"/>
              <w:numPr>
                <w:ilvl w:val="0"/>
                <w:numId w:val="6"/>
              </w:numPr>
              <w:jc w:val="both"/>
            </w:pPr>
            <w:r>
              <w:t xml:space="preserve">develop customized curriculum requirements for degree and certificate programs to prepare students for high-wage jobs in the advanced nuclear energy industry that, subject to THECB approval, may be offered by </w:t>
            </w:r>
            <w:r w:rsidRPr="00CB6392">
              <w:t>an institution of higher education</w:t>
            </w:r>
            <w:r>
              <w:t>.</w:t>
            </w:r>
          </w:p>
          <w:p w14:paraId="6A56A27F" w14:textId="77777777" w:rsidR="00712659" w:rsidRDefault="00712659" w:rsidP="004E239B">
            <w:pPr>
              <w:pStyle w:val="Header"/>
              <w:jc w:val="both"/>
            </w:pPr>
          </w:p>
          <w:p w14:paraId="4CF75E02" w14:textId="483FC712" w:rsidR="0035732A" w:rsidRDefault="000176C9" w:rsidP="004E239B">
            <w:pPr>
              <w:pStyle w:val="Header"/>
              <w:jc w:val="both"/>
            </w:pPr>
            <w:r>
              <w:t xml:space="preserve">C.S.S.B. 1535 requires TWC, in developing </w:t>
            </w:r>
            <w:r w:rsidR="002A0140" w:rsidRPr="00CB6392">
              <w:t>such</w:t>
            </w:r>
            <w:r w:rsidRPr="00CB6392">
              <w:t xml:space="preserve"> curriculum requirements</w:t>
            </w:r>
            <w:r>
              <w:t>, to do the following:</w:t>
            </w:r>
          </w:p>
          <w:p w14:paraId="2D03B94C" w14:textId="493B655B" w:rsidR="0035732A" w:rsidRDefault="000176C9" w:rsidP="004E239B">
            <w:pPr>
              <w:pStyle w:val="Header"/>
              <w:numPr>
                <w:ilvl w:val="0"/>
                <w:numId w:val="5"/>
              </w:numPr>
              <w:jc w:val="both"/>
            </w:pPr>
            <w:r>
              <w:t>consult with</w:t>
            </w:r>
            <w:r w:rsidR="00E67A72">
              <w:t xml:space="preserve"> t</w:t>
            </w:r>
            <w:r>
              <w:t xml:space="preserve">he designated representatives of the </w:t>
            </w:r>
            <w:r w:rsidR="00E67A72">
              <w:t>PUC</w:t>
            </w:r>
            <w:r w:rsidR="00712659">
              <w:t>,</w:t>
            </w:r>
            <w:r w:rsidR="00E67A72">
              <w:t xml:space="preserve"> </w:t>
            </w:r>
            <w:r>
              <w:t>employers in the advanced nuclear energy industry</w:t>
            </w:r>
            <w:r w:rsidR="00712659">
              <w:t>, and representatives of TEA, the THECB, general academic teaching institutions, public technical institutes, and public junior colleges</w:t>
            </w:r>
            <w:r>
              <w:t>; and</w:t>
            </w:r>
          </w:p>
          <w:p w14:paraId="3BB32E71" w14:textId="646C210E" w:rsidR="0035732A" w:rsidRDefault="000176C9" w:rsidP="004E239B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focus on developing </w:t>
            </w:r>
            <w:r w:rsidR="00FF59C8">
              <w:t xml:space="preserve">academic pathways to and </w:t>
            </w:r>
            <w:r>
              <w:t>curricula for programs leading to high-wage jobs in the areas of</w:t>
            </w:r>
            <w:r w:rsidR="002A0140">
              <w:t xml:space="preserve"> </w:t>
            </w:r>
            <w:r>
              <w:t xml:space="preserve">nuclear-grade welding, radiological control and monitoring, reactor operations, nuclear </w:t>
            </w:r>
            <w:r>
              <w:t>instrumentation and control, and nuclear, electrical, chemical, civil, and environmental engineering.</w:t>
            </w:r>
          </w:p>
          <w:p w14:paraId="640983FC" w14:textId="77777777" w:rsidR="0035732A" w:rsidRDefault="0035732A" w:rsidP="004E239B">
            <w:pPr>
              <w:pStyle w:val="Header"/>
              <w:jc w:val="both"/>
            </w:pPr>
          </w:p>
          <w:p w14:paraId="6D8FE935" w14:textId="1B9E20DD" w:rsidR="009C36CD" w:rsidRDefault="000176C9" w:rsidP="004E23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67A72">
              <w:t>S.B. 1535 requires TWC</w:t>
            </w:r>
            <w:r w:rsidR="0035732A">
              <w:t>,</w:t>
            </w:r>
            <w:r w:rsidR="00E67A72">
              <w:t xml:space="preserve"> </w:t>
            </w:r>
            <w:r w:rsidR="00712659" w:rsidRPr="00E67A72">
              <w:t>not later than September 1 of each year</w:t>
            </w:r>
            <w:r w:rsidR="00712659">
              <w:t xml:space="preserve"> and </w:t>
            </w:r>
            <w:r w:rsidR="0035732A">
              <w:t xml:space="preserve">in consultation with </w:t>
            </w:r>
            <w:r w:rsidR="00FF59C8">
              <w:t xml:space="preserve">TEA and </w:t>
            </w:r>
            <w:r w:rsidR="0035732A">
              <w:t xml:space="preserve">the </w:t>
            </w:r>
            <w:r w:rsidR="002A0140">
              <w:t>THECB</w:t>
            </w:r>
            <w:r w:rsidR="0035732A">
              <w:t xml:space="preserve">, </w:t>
            </w:r>
            <w:r w:rsidR="00E67A72">
              <w:t>to</w:t>
            </w:r>
            <w:r w:rsidR="0035732A">
              <w:t xml:space="preserve"> prepare and submit to each standing committee of the legislature with primary jurisdiction over workforce development, higher education, or energy industry matters, a report summarizing </w:t>
            </w:r>
            <w:r w:rsidR="00E67A72">
              <w:t>TWC's</w:t>
            </w:r>
            <w:r w:rsidR="0035732A">
              <w:t xml:space="preserve"> activities under the program. The report may include </w:t>
            </w:r>
            <w:r w:rsidR="00E67A72">
              <w:t>TWC's</w:t>
            </w:r>
            <w:r w:rsidR="0035732A">
              <w:t xml:space="preserve"> recommendations for legislative or other action.</w:t>
            </w:r>
          </w:p>
          <w:p w14:paraId="26618CFA" w14:textId="77777777" w:rsidR="002A0140" w:rsidRDefault="002A0140" w:rsidP="004E23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A18BC6E" w14:textId="1C5F8C4A" w:rsidR="002A0140" w:rsidRPr="009C36CD" w:rsidRDefault="000176C9" w:rsidP="004E23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C.S.S.B. 1535 </w:t>
            </w:r>
            <w:r w:rsidR="00D75AC4">
              <w:t xml:space="preserve">defines </w:t>
            </w:r>
            <w:r w:rsidR="00D75AC4" w:rsidRPr="002A0140">
              <w:t>"</w:t>
            </w:r>
            <w:r>
              <w:t>g</w:t>
            </w:r>
            <w:r w:rsidRPr="002A0140">
              <w:t xml:space="preserve">eneral academic teaching institution," "institution of higher education," "public junior college," and "public technical institute" </w:t>
            </w:r>
            <w:r>
              <w:t xml:space="preserve">by reference to </w:t>
            </w:r>
            <w:r w:rsidR="00712659">
              <w:t xml:space="preserve">Education Code </w:t>
            </w:r>
            <w:r>
              <w:t xml:space="preserve">provisions </w:t>
            </w:r>
            <w:r w:rsidRPr="00CB6392">
              <w:t>governing the THECB</w:t>
            </w:r>
            <w:r>
              <w:t>.</w:t>
            </w:r>
          </w:p>
          <w:p w14:paraId="44F28BAB" w14:textId="77777777" w:rsidR="008423E4" w:rsidRPr="00835628" w:rsidRDefault="008423E4" w:rsidP="004E239B">
            <w:pPr>
              <w:rPr>
                <w:b/>
              </w:rPr>
            </w:pPr>
          </w:p>
        </w:tc>
      </w:tr>
      <w:tr w:rsidR="00DB5DAF" w14:paraId="7545F655" w14:textId="77777777" w:rsidTr="004E239B">
        <w:tc>
          <w:tcPr>
            <w:tcW w:w="9360" w:type="dxa"/>
          </w:tcPr>
          <w:p w14:paraId="14135F5B" w14:textId="77777777" w:rsidR="008423E4" w:rsidRPr="00A8133F" w:rsidRDefault="000176C9" w:rsidP="004E239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63DE094" w14:textId="77777777" w:rsidR="008423E4" w:rsidRDefault="008423E4" w:rsidP="004E239B"/>
          <w:p w14:paraId="4EDD6249" w14:textId="3D57ADA9" w:rsidR="008423E4" w:rsidRPr="003624F2" w:rsidRDefault="000176C9" w:rsidP="004E23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1E10602A" w14:textId="77777777" w:rsidR="008423E4" w:rsidRPr="00233FDB" w:rsidRDefault="008423E4" w:rsidP="004E239B">
            <w:pPr>
              <w:rPr>
                <w:b/>
              </w:rPr>
            </w:pPr>
          </w:p>
        </w:tc>
      </w:tr>
      <w:tr w:rsidR="00DB5DAF" w14:paraId="6152B5CF" w14:textId="77777777" w:rsidTr="004E239B">
        <w:tc>
          <w:tcPr>
            <w:tcW w:w="9360" w:type="dxa"/>
          </w:tcPr>
          <w:p w14:paraId="783554F0" w14:textId="77777777" w:rsidR="007A2DAE" w:rsidRDefault="000176C9" w:rsidP="004E239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4ABA75D4" w14:textId="77777777" w:rsidR="00FF59C8" w:rsidRDefault="00FF59C8" w:rsidP="004E239B">
            <w:pPr>
              <w:jc w:val="both"/>
            </w:pPr>
          </w:p>
          <w:p w14:paraId="3C5E268C" w14:textId="07D8649D" w:rsidR="00FF59C8" w:rsidRDefault="000176C9" w:rsidP="004E239B">
            <w:pPr>
              <w:jc w:val="both"/>
            </w:pPr>
            <w:r>
              <w:t>While C.S.S.B. 1535 may differ from the engrossed in minor or nonsubstantive ways, the following summarizes the substantial differences between the engrossed and committee substitute versions of the bill.</w:t>
            </w:r>
          </w:p>
          <w:p w14:paraId="3C00946D" w14:textId="77777777" w:rsidR="00FF59C8" w:rsidRPr="00FF59C8" w:rsidRDefault="00FF59C8" w:rsidP="004E239B">
            <w:pPr>
              <w:jc w:val="both"/>
            </w:pPr>
          </w:p>
          <w:p w14:paraId="3B41DB88" w14:textId="01C438E5" w:rsidR="00E37586" w:rsidRDefault="000176C9" w:rsidP="004E239B">
            <w:pPr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="00D117A3">
              <w:rPr>
                <w:bCs/>
              </w:rPr>
              <w:t xml:space="preserve">he substitute </w:t>
            </w:r>
            <w:r w:rsidR="00760016">
              <w:rPr>
                <w:bCs/>
              </w:rPr>
              <w:t xml:space="preserve">includes TEA </w:t>
            </w:r>
            <w:r>
              <w:rPr>
                <w:bCs/>
              </w:rPr>
              <w:t>as an entity with which</w:t>
            </w:r>
            <w:r w:rsidR="00760016">
              <w:rPr>
                <w:bCs/>
              </w:rPr>
              <w:t xml:space="preserve"> TWC is required to collaborate </w:t>
            </w:r>
            <w:r>
              <w:rPr>
                <w:bCs/>
              </w:rPr>
              <w:t>in</w:t>
            </w:r>
            <w:r w:rsidR="00760016" w:rsidRPr="00760016">
              <w:rPr>
                <w:bCs/>
              </w:rPr>
              <w:t xml:space="preserve"> establish</w:t>
            </w:r>
            <w:r>
              <w:rPr>
                <w:bCs/>
              </w:rPr>
              <w:t>ing</w:t>
            </w:r>
            <w:r w:rsidR="00760016" w:rsidRPr="00760016">
              <w:rPr>
                <w:bCs/>
              </w:rPr>
              <w:t xml:space="preserve"> and administer</w:t>
            </w:r>
            <w:r>
              <w:rPr>
                <w:bCs/>
              </w:rPr>
              <w:t>ing</w:t>
            </w:r>
            <w:r w:rsidR="00760016" w:rsidRPr="00760016">
              <w:rPr>
                <w:bCs/>
              </w:rPr>
              <w:t xml:space="preserve"> </w:t>
            </w:r>
            <w:r w:rsidR="00760016" w:rsidRPr="00CB6392">
              <w:rPr>
                <w:bCs/>
              </w:rPr>
              <w:t xml:space="preserve">the </w:t>
            </w:r>
            <w:r w:rsidR="008C645A" w:rsidRPr="00CB6392">
              <w:rPr>
                <w:bCs/>
              </w:rPr>
              <w:t>program</w:t>
            </w:r>
            <w:r w:rsidR="00FB141B">
              <w:rPr>
                <w:bCs/>
              </w:rPr>
              <w:t>, whereas the engrossed did not</w:t>
            </w:r>
            <w:r w:rsidR="00D31BB5">
              <w:rPr>
                <w:bCs/>
              </w:rPr>
              <w:t>.</w:t>
            </w:r>
          </w:p>
          <w:p w14:paraId="53754478" w14:textId="77777777" w:rsidR="00E37586" w:rsidRDefault="00E37586" w:rsidP="004E239B">
            <w:pPr>
              <w:jc w:val="both"/>
              <w:rPr>
                <w:bCs/>
              </w:rPr>
            </w:pPr>
          </w:p>
          <w:p w14:paraId="32DA0CFC" w14:textId="0D8D46B1" w:rsidR="00760016" w:rsidRPr="00FB141B" w:rsidRDefault="000176C9" w:rsidP="004E239B">
            <w:pPr>
              <w:jc w:val="both"/>
              <w:rPr>
                <w:bCs/>
              </w:rPr>
            </w:pPr>
            <w:r w:rsidRPr="00A519AD">
              <w:rPr>
                <w:bCs/>
              </w:rPr>
              <w:t>W</w:t>
            </w:r>
            <w:r w:rsidR="00FB141B" w:rsidRPr="00A519AD">
              <w:rPr>
                <w:bCs/>
              </w:rPr>
              <w:t xml:space="preserve">hile both the engrossed and the substitute </w:t>
            </w:r>
            <w:r w:rsidRPr="00A519AD">
              <w:rPr>
                <w:bCs/>
              </w:rPr>
              <w:t xml:space="preserve">include </w:t>
            </w:r>
            <w:r w:rsidR="00A519AD">
              <w:rPr>
                <w:bCs/>
              </w:rPr>
              <w:t>the</w:t>
            </w:r>
            <w:r w:rsidRPr="00D61334">
              <w:rPr>
                <w:bCs/>
              </w:rPr>
              <w:t xml:space="preserve"> </w:t>
            </w:r>
            <w:r w:rsidRPr="00A519AD">
              <w:rPr>
                <w:bCs/>
              </w:rPr>
              <w:t>provi</w:t>
            </w:r>
            <w:r w:rsidR="00A519AD">
              <w:rPr>
                <w:bCs/>
              </w:rPr>
              <w:t>sion of</w:t>
            </w:r>
            <w:r w:rsidRPr="00A519AD">
              <w:rPr>
                <w:bCs/>
              </w:rPr>
              <w:t xml:space="preserve"> financial assistance</w:t>
            </w:r>
            <w:r w:rsidR="00343E20" w:rsidRPr="00A519AD">
              <w:rPr>
                <w:bCs/>
              </w:rPr>
              <w:t xml:space="preserve"> </w:t>
            </w:r>
            <w:r w:rsidRPr="00A519AD">
              <w:rPr>
                <w:bCs/>
              </w:rPr>
              <w:t xml:space="preserve">to incentivize and support </w:t>
            </w:r>
            <w:r w:rsidR="00FB141B" w:rsidRPr="00A519AD">
              <w:rPr>
                <w:bCs/>
              </w:rPr>
              <w:t>certain acti</w:t>
            </w:r>
            <w:r w:rsidRPr="00A519AD">
              <w:rPr>
                <w:bCs/>
              </w:rPr>
              <w:t>vities</w:t>
            </w:r>
            <w:r w:rsidR="00A519AD">
              <w:rPr>
                <w:bCs/>
              </w:rPr>
              <w:t xml:space="preserve"> as a component of the required strategic plan</w:t>
            </w:r>
            <w:r w:rsidR="00FB141B">
              <w:rPr>
                <w:bCs/>
              </w:rPr>
              <w:t xml:space="preserve">, the substitute includes the following </w:t>
            </w:r>
            <w:r>
              <w:rPr>
                <w:bCs/>
              </w:rPr>
              <w:t>activities</w:t>
            </w:r>
            <w:r w:rsidR="00FB141B">
              <w:rPr>
                <w:bCs/>
              </w:rPr>
              <w:t xml:space="preserve"> absent from the </w:t>
            </w:r>
            <w:r w:rsidR="00BD5D9E">
              <w:rPr>
                <w:bCs/>
              </w:rPr>
              <w:t>engrossed</w:t>
            </w:r>
            <w:r w:rsidRPr="00FB141B">
              <w:rPr>
                <w:bCs/>
              </w:rPr>
              <w:t>:</w:t>
            </w:r>
          </w:p>
          <w:p w14:paraId="7230DD6F" w14:textId="1B316642" w:rsidR="00760016" w:rsidRPr="00760016" w:rsidRDefault="000176C9" w:rsidP="004E239B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760016">
              <w:rPr>
                <w:bCs/>
              </w:rPr>
              <w:t>the development of programming and outreach efforts designed to create awareness of nuclear science and career opportunities in the field of advanced nuclear energy among public school students;</w:t>
            </w:r>
            <w:r w:rsidR="008C645A">
              <w:rPr>
                <w:bCs/>
              </w:rPr>
              <w:t xml:space="preserve"> and</w:t>
            </w:r>
          </w:p>
          <w:p w14:paraId="26AB32FE" w14:textId="50C9E657" w:rsidR="00D117A3" w:rsidRPr="00D117A3" w:rsidRDefault="000176C9" w:rsidP="004E239B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760016">
              <w:rPr>
                <w:bCs/>
              </w:rPr>
              <w:t xml:space="preserve">the creation of academic pathways from secondary school to education and training programs at </w:t>
            </w:r>
            <w:r w:rsidRPr="00CB6392">
              <w:rPr>
                <w:bCs/>
              </w:rPr>
              <w:t>institutions of higher education</w:t>
            </w:r>
            <w:r w:rsidRPr="00760016">
              <w:rPr>
                <w:bCs/>
              </w:rPr>
              <w:t xml:space="preserve"> in the field of advanced nuclear energy</w:t>
            </w:r>
            <w:r w:rsidR="008C645A">
              <w:rPr>
                <w:bCs/>
              </w:rPr>
              <w:t>.</w:t>
            </w:r>
          </w:p>
          <w:p w14:paraId="2213C401" w14:textId="77777777" w:rsidR="008C645A" w:rsidRDefault="008C645A" w:rsidP="004E239B">
            <w:pPr>
              <w:jc w:val="both"/>
              <w:rPr>
                <w:bCs/>
              </w:rPr>
            </w:pPr>
          </w:p>
          <w:p w14:paraId="58AB0501" w14:textId="71DBE147" w:rsidR="00D117A3" w:rsidRPr="008C645A" w:rsidRDefault="000176C9" w:rsidP="004E239B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substitute </w:t>
            </w:r>
            <w:r w:rsidR="00991D70">
              <w:rPr>
                <w:bCs/>
              </w:rPr>
              <w:t xml:space="preserve">makes the following changes to the </w:t>
            </w:r>
            <w:r w:rsidR="00BD5D9E">
              <w:rPr>
                <w:bCs/>
              </w:rPr>
              <w:t>engrossed</w:t>
            </w:r>
            <w:r w:rsidR="00991D70">
              <w:rPr>
                <w:bCs/>
              </w:rPr>
              <w:t xml:space="preserve"> version's</w:t>
            </w:r>
            <w:r w:rsidRPr="008C645A">
              <w:rPr>
                <w:bCs/>
              </w:rPr>
              <w:t xml:space="preserve"> </w:t>
            </w:r>
            <w:r w:rsidR="00991D70">
              <w:rPr>
                <w:bCs/>
              </w:rPr>
              <w:t>requirements</w:t>
            </w:r>
            <w:r w:rsidRPr="008C645A">
              <w:rPr>
                <w:bCs/>
              </w:rPr>
              <w:t xml:space="preserve"> for TWC </w:t>
            </w:r>
            <w:r w:rsidR="00991D70">
              <w:rPr>
                <w:bCs/>
              </w:rPr>
              <w:t>in developing the</w:t>
            </w:r>
            <w:r w:rsidRPr="008C645A">
              <w:rPr>
                <w:bCs/>
              </w:rPr>
              <w:t xml:space="preserve"> customized curriculum requirements </w:t>
            </w:r>
            <w:r w:rsidR="00991D70">
              <w:rPr>
                <w:bCs/>
              </w:rPr>
              <w:t>under the program</w:t>
            </w:r>
            <w:r w:rsidRPr="008C645A">
              <w:rPr>
                <w:bCs/>
              </w:rPr>
              <w:t>:</w:t>
            </w:r>
          </w:p>
          <w:p w14:paraId="659D87B8" w14:textId="33B27B70" w:rsidR="00D117A3" w:rsidRDefault="000176C9" w:rsidP="004E239B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includes </w:t>
            </w:r>
            <w:r w:rsidRPr="00D117A3">
              <w:rPr>
                <w:bCs/>
              </w:rPr>
              <w:t>representatives of TEA</w:t>
            </w:r>
            <w:r>
              <w:rPr>
                <w:bCs/>
              </w:rPr>
              <w:t xml:space="preserve"> among the</w:t>
            </w:r>
            <w:r w:rsidR="00FB141B">
              <w:rPr>
                <w:bCs/>
              </w:rPr>
              <w:t xml:space="preserve"> entities </w:t>
            </w:r>
            <w:r>
              <w:rPr>
                <w:bCs/>
              </w:rPr>
              <w:t>with which TWC must consult; and</w:t>
            </w:r>
          </w:p>
          <w:p w14:paraId="102FB66E" w14:textId="2966352F" w:rsidR="00D117A3" w:rsidRPr="00CB6392" w:rsidRDefault="000176C9" w:rsidP="004E239B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expands the </w:t>
            </w:r>
            <w:r w:rsidR="00A04BEC" w:rsidRPr="00CB6392">
              <w:rPr>
                <w:bCs/>
              </w:rPr>
              <w:t xml:space="preserve">requirement for </w:t>
            </w:r>
            <w:r w:rsidRPr="00CB6392">
              <w:rPr>
                <w:bCs/>
              </w:rPr>
              <w:t xml:space="preserve">TWC to focus on developing </w:t>
            </w:r>
            <w:r>
              <w:rPr>
                <w:bCs/>
              </w:rPr>
              <w:t>curricula for</w:t>
            </w:r>
            <w:r w:rsidRPr="00CB6392">
              <w:t xml:space="preserve"> </w:t>
            </w:r>
            <w:r w:rsidRPr="00CB6392">
              <w:rPr>
                <w:bCs/>
              </w:rPr>
              <w:t xml:space="preserve">programs leading to high-wage jobs in </w:t>
            </w:r>
            <w:r w:rsidR="004A19C6" w:rsidRPr="00CB6392">
              <w:rPr>
                <w:bCs/>
              </w:rPr>
              <w:t>certain specified</w:t>
            </w:r>
            <w:r w:rsidRPr="00CB6392">
              <w:rPr>
                <w:bCs/>
              </w:rPr>
              <w:t xml:space="preserve"> areas </w:t>
            </w:r>
            <w:r w:rsidR="004A19C6" w:rsidRPr="00CB6392">
              <w:rPr>
                <w:bCs/>
              </w:rPr>
              <w:t xml:space="preserve">relating to the nuclear </w:t>
            </w:r>
            <w:r>
              <w:rPr>
                <w:bCs/>
              </w:rPr>
              <w:t xml:space="preserve">energy </w:t>
            </w:r>
            <w:r w:rsidR="004A19C6" w:rsidRPr="00CB6392">
              <w:rPr>
                <w:bCs/>
              </w:rPr>
              <w:t>industry</w:t>
            </w:r>
            <w:r w:rsidR="00076BF8">
              <w:rPr>
                <w:bCs/>
              </w:rPr>
              <w:t xml:space="preserve"> by also providing for a focus on developing academic pathways to such jobs</w:t>
            </w:r>
            <w:r w:rsidRPr="00CB6392">
              <w:rPr>
                <w:bCs/>
              </w:rPr>
              <w:t>.</w:t>
            </w:r>
          </w:p>
          <w:p w14:paraId="0BD5128D" w14:textId="77777777" w:rsidR="008C645A" w:rsidRDefault="008C645A" w:rsidP="004E239B">
            <w:pPr>
              <w:pStyle w:val="ListParagraph"/>
              <w:ind w:left="1440"/>
              <w:jc w:val="both"/>
              <w:rPr>
                <w:bCs/>
              </w:rPr>
            </w:pPr>
          </w:p>
          <w:p w14:paraId="4DE4E5DA" w14:textId="0C3530A2" w:rsidR="00760016" w:rsidRPr="007A2DAE" w:rsidRDefault="000176C9" w:rsidP="004E239B">
            <w:pPr>
              <w:jc w:val="both"/>
              <w:rPr>
                <w:b/>
                <w:u w:val="single"/>
              </w:rPr>
            </w:pPr>
            <w:r>
              <w:rPr>
                <w:bCs/>
              </w:rPr>
              <w:t>The</w:t>
            </w:r>
            <w:r w:rsidR="008C645A">
              <w:rPr>
                <w:bCs/>
              </w:rPr>
              <w:t xml:space="preserve"> substitute includes </w:t>
            </w:r>
            <w:r w:rsidR="004A19C6">
              <w:rPr>
                <w:bCs/>
              </w:rPr>
              <w:t xml:space="preserve">TEA as an entity </w:t>
            </w:r>
            <w:r>
              <w:rPr>
                <w:bCs/>
              </w:rPr>
              <w:t>with</w:t>
            </w:r>
            <w:r w:rsidR="004A19C6">
              <w:rPr>
                <w:bCs/>
              </w:rPr>
              <w:t xml:space="preserve"> which TWC </w:t>
            </w:r>
            <w:r>
              <w:rPr>
                <w:bCs/>
              </w:rPr>
              <w:t>must</w:t>
            </w:r>
            <w:r w:rsidR="004A19C6">
              <w:rPr>
                <w:bCs/>
              </w:rPr>
              <w:t xml:space="preserve"> consult in preparing the </w:t>
            </w:r>
            <w:r>
              <w:rPr>
                <w:bCs/>
              </w:rPr>
              <w:t xml:space="preserve">annual </w:t>
            </w:r>
            <w:r w:rsidR="004A19C6">
              <w:rPr>
                <w:bCs/>
              </w:rPr>
              <w:t>report</w:t>
            </w:r>
            <w:r>
              <w:rPr>
                <w:bCs/>
              </w:rPr>
              <w:t xml:space="preserve"> summarizing TWC's activities under the program</w:t>
            </w:r>
            <w:r w:rsidR="00343E20">
              <w:rPr>
                <w:bCs/>
              </w:rPr>
              <w:t>, whereas the engrossed did not</w:t>
            </w:r>
            <w:r w:rsidR="008C645A">
              <w:rPr>
                <w:bCs/>
              </w:rPr>
              <w:t>.</w:t>
            </w:r>
          </w:p>
        </w:tc>
      </w:tr>
    </w:tbl>
    <w:p w14:paraId="0A09861F" w14:textId="77777777" w:rsidR="004108C3" w:rsidRPr="008423E4" w:rsidRDefault="004108C3" w:rsidP="004E239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3B48" w14:textId="77777777" w:rsidR="000176C9" w:rsidRDefault="000176C9">
      <w:r>
        <w:separator/>
      </w:r>
    </w:p>
  </w:endnote>
  <w:endnote w:type="continuationSeparator" w:id="0">
    <w:p w14:paraId="2A169253" w14:textId="77777777" w:rsidR="000176C9" w:rsidRDefault="0001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53C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B5DAF" w14:paraId="23AAC301" w14:textId="77777777" w:rsidTr="009C1E9A">
      <w:trPr>
        <w:cantSplit/>
      </w:trPr>
      <w:tc>
        <w:tcPr>
          <w:tcW w:w="0" w:type="pct"/>
        </w:tcPr>
        <w:p w14:paraId="7105D9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7A4A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693A01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7260F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6FF85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B5DAF" w14:paraId="653A4942" w14:textId="77777777" w:rsidTr="009C1E9A">
      <w:trPr>
        <w:cantSplit/>
      </w:trPr>
      <w:tc>
        <w:tcPr>
          <w:tcW w:w="0" w:type="pct"/>
        </w:tcPr>
        <w:p w14:paraId="6907CE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98A5EA" w14:textId="536C49E4" w:rsidR="00EC379B" w:rsidRPr="009C1E9A" w:rsidRDefault="000176C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29377-D</w:t>
          </w:r>
        </w:p>
      </w:tc>
      <w:tc>
        <w:tcPr>
          <w:tcW w:w="2453" w:type="pct"/>
        </w:tcPr>
        <w:p w14:paraId="5A21FED6" w14:textId="1F8FA471" w:rsidR="00EC379B" w:rsidRDefault="000176C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8247D">
            <w:t>25.129.2204</w:t>
          </w:r>
          <w:r>
            <w:fldChar w:fldCharType="end"/>
          </w:r>
        </w:p>
      </w:tc>
    </w:tr>
    <w:tr w:rsidR="00DB5DAF" w14:paraId="3725DE62" w14:textId="77777777" w:rsidTr="009C1E9A">
      <w:trPr>
        <w:cantSplit/>
      </w:trPr>
      <w:tc>
        <w:tcPr>
          <w:tcW w:w="0" w:type="pct"/>
        </w:tcPr>
        <w:p w14:paraId="081949F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D363150" w14:textId="38D237C1" w:rsidR="00EC379B" w:rsidRPr="009C1E9A" w:rsidRDefault="000176C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26359</w:t>
          </w:r>
        </w:p>
      </w:tc>
      <w:tc>
        <w:tcPr>
          <w:tcW w:w="2453" w:type="pct"/>
        </w:tcPr>
        <w:p w14:paraId="330E9B9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27394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B5DAF" w14:paraId="0BF2534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2D1209B" w14:textId="77777777" w:rsidR="00EC379B" w:rsidRDefault="000176C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DCAD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7068B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E92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0F51" w14:textId="77777777" w:rsidR="000176C9" w:rsidRDefault="000176C9">
      <w:r>
        <w:separator/>
      </w:r>
    </w:p>
  </w:footnote>
  <w:footnote w:type="continuationSeparator" w:id="0">
    <w:p w14:paraId="0D131D0B" w14:textId="77777777" w:rsidR="000176C9" w:rsidRDefault="0001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BAE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A25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870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428"/>
    <w:multiLevelType w:val="hybridMultilevel"/>
    <w:tmpl w:val="ED927E32"/>
    <w:lvl w:ilvl="0" w:tplc="A4F4C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BEE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461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A1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8C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E3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E8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9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CE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6E7"/>
    <w:multiLevelType w:val="hybridMultilevel"/>
    <w:tmpl w:val="18FA9D26"/>
    <w:lvl w:ilvl="0" w:tplc="626E6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6E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C4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2B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A0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ED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08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C5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CE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33C7"/>
    <w:multiLevelType w:val="hybridMultilevel"/>
    <w:tmpl w:val="4A78388E"/>
    <w:lvl w:ilvl="0" w:tplc="56067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48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2C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CD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87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E9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01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2C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46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F24B4"/>
    <w:multiLevelType w:val="hybridMultilevel"/>
    <w:tmpl w:val="7D127DD4"/>
    <w:lvl w:ilvl="0" w:tplc="F4F29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24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5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C7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48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49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66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07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AA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2778"/>
    <w:multiLevelType w:val="hybridMultilevel"/>
    <w:tmpl w:val="B19AFD9E"/>
    <w:lvl w:ilvl="0" w:tplc="E2D6B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10E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C8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4F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8C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CE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4D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8D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60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70739"/>
    <w:multiLevelType w:val="hybridMultilevel"/>
    <w:tmpl w:val="7C263066"/>
    <w:lvl w:ilvl="0" w:tplc="D7243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308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06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4B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A5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08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A9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6E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5C4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433A2"/>
    <w:multiLevelType w:val="hybridMultilevel"/>
    <w:tmpl w:val="FF5AC4A6"/>
    <w:lvl w:ilvl="0" w:tplc="07F818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D78DE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60D8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3AF4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44E9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C41C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200B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08D7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44DA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211936">
    <w:abstractNumId w:val="6"/>
  </w:num>
  <w:num w:numId="2" w16cid:durableId="1170101833">
    <w:abstractNumId w:val="2"/>
  </w:num>
  <w:num w:numId="3" w16cid:durableId="2117600533">
    <w:abstractNumId w:val="0"/>
  </w:num>
  <w:num w:numId="4" w16cid:durableId="659652449">
    <w:abstractNumId w:val="1"/>
  </w:num>
  <w:num w:numId="5" w16cid:durableId="357707013">
    <w:abstractNumId w:val="5"/>
  </w:num>
  <w:num w:numId="6" w16cid:durableId="1753115408">
    <w:abstractNumId w:val="3"/>
  </w:num>
  <w:num w:numId="7" w16cid:durableId="605967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2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76C9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BF8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794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14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1776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3E20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32A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F61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090"/>
    <w:rsid w:val="004736FE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9C6"/>
    <w:rsid w:val="004A2172"/>
    <w:rsid w:val="004A239F"/>
    <w:rsid w:val="004B138F"/>
    <w:rsid w:val="004B2357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39B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024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66D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5321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1CB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434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3C3"/>
    <w:rsid w:val="006D09D0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659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016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DAE"/>
    <w:rsid w:val="007A331F"/>
    <w:rsid w:val="007A3844"/>
    <w:rsid w:val="007A4381"/>
    <w:rsid w:val="007A5466"/>
    <w:rsid w:val="007A7EC1"/>
    <w:rsid w:val="007B1146"/>
    <w:rsid w:val="007B4FCA"/>
    <w:rsid w:val="007B7B85"/>
    <w:rsid w:val="007C462E"/>
    <w:rsid w:val="007C496B"/>
    <w:rsid w:val="007C6803"/>
    <w:rsid w:val="007D073A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13D1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B14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441"/>
    <w:rsid w:val="008B7785"/>
    <w:rsid w:val="008B79F2"/>
    <w:rsid w:val="008C0809"/>
    <w:rsid w:val="008C132C"/>
    <w:rsid w:val="008C3FD0"/>
    <w:rsid w:val="008C645A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E04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D92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0D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D7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1F5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BEC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1EBC"/>
    <w:rsid w:val="00A32304"/>
    <w:rsid w:val="00A3420E"/>
    <w:rsid w:val="00A35D66"/>
    <w:rsid w:val="00A41085"/>
    <w:rsid w:val="00A425FA"/>
    <w:rsid w:val="00A43960"/>
    <w:rsid w:val="00A46902"/>
    <w:rsid w:val="00A47356"/>
    <w:rsid w:val="00A50CDB"/>
    <w:rsid w:val="00A519AD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D38"/>
    <w:rsid w:val="00A803CF"/>
    <w:rsid w:val="00A8133F"/>
    <w:rsid w:val="00A82CB4"/>
    <w:rsid w:val="00A837A8"/>
    <w:rsid w:val="00A83C36"/>
    <w:rsid w:val="00A84D6D"/>
    <w:rsid w:val="00A932BB"/>
    <w:rsid w:val="00A93579"/>
    <w:rsid w:val="00A93934"/>
    <w:rsid w:val="00A95D51"/>
    <w:rsid w:val="00AA18AE"/>
    <w:rsid w:val="00AA228B"/>
    <w:rsid w:val="00AA4871"/>
    <w:rsid w:val="00AA5054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692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C5D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914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628"/>
    <w:rsid w:val="00BD0A32"/>
    <w:rsid w:val="00BD4E55"/>
    <w:rsid w:val="00BD513B"/>
    <w:rsid w:val="00BD5D9E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DA2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392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7A3"/>
    <w:rsid w:val="00D11B0B"/>
    <w:rsid w:val="00D12A3E"/>
    <w:rsid w:val="00D22160"/>
    <w:rsid w:val="00D22172"/>
    <w:rsid w:val="00D2301B"/>
    <w:rsid w:val="00D239EE"/>
    <w:rsid w:val="00D30534"/>
    <w:rsid w:val="00D31BB5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334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AC4"/>
    <w:rsid w:val="00D76631"/>
    <w:rsid w:val="00D768B7"/>
    <w:rsid w:val="00D77492"/>
    <w:rsid w:val="00D811E8"/>
    <w:rsid w:val="00D81A44"/>
    <w:rsid w:val="00D8247D"/>
    <w:rsid w:val="00D83072"/>
    <w:rsid w:val="00D83ABC"/>
    <w:rsid w:val="00D84870"/>
    <w:rsid w:val="00D90509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5DAF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586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168"/>
    <w:rsid w:val="00E625DA"/>
    <w:rsid w:val="00E634DC"/>
    <w:rsid w:val="00E667F3"/>
    <w:rsid w:val="00E67794"/>
    <w:rsid w:val="00E67A72"/>
    <w:rsid w:val="00E70CC6"/>
    <w:rsid w:val="00E71254"/>
    <w:rsid w:val="00E7360D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69A"/>
    <w:rsid w:val="00EA16AC"/>
    <w:rsid w:val="00EA2856"/>
    <w:rsid w:val="00EA385A"/>
    <w:rsid w:val="00EA3931"/>
    <w:rsid w:val="00EA658E"/>
    <w:rsid w:val="00EA7A88"/>
    <w:rsid w:val="00EB27F2"/>
    <w:rsid w:val="00EB3928"/>
    <w:rsid w:val="00EB5373"/>
    <w:rsid w:val="00EC02A2"/>
    <w:rsid w:val="00EC272D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41B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9C8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957898-6D5C-465F-8E13-BAEF449C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67A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67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7A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7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7A72"/>
    <w:rPr>
      <w:b/>
      <w:bCs/>
    </w:rPr>
  </w:style>
  <w:style w:type="paragraph" w:styleId="Revision">
    <w:name w:val="Revision"/>
    <w:hidden/>
    <w:uiPriority w:val="99"/>
    <w:semiHidden/>
    <w:rsid w:val="00E6116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6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5086</Characters>
  <Application>Microsoft Office Word</Application>
  <DocSecurity>0</DocSecurity>
  <Lines>107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SB01535 (Committee Report (Substituted))</vt:lpstr>
    </vt:vector>
  </TitlesOfParts>
  <Company>State of Texas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29377</dc:subject>
  <dc:creator>State of Texas</dc:creator>
  <dc:description>SB 1535 by Zaffirini-(H)State Affairs (Substitute Document Number: 89R 26359)</dc:description>
  <cp:lastModifiedBy>Stacey Nicchio</cp:lastModifiedBy>
  <cp:revision>2</cp:revision>
  <cp:lastPrinted>2003-11-26T17:21:00Z</cp:lastPrinted>
  <dcterms:created xsi:type="dcterms:W3CDTF">2025-05-13T22:00:00Z</dcterms:created>
  <dcterms:modified xsi:type="dcterms:W3CDTF">2025-05-13T22:00:00Z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25.129.2204</vt:lpwstr>
  </property>
</Properties>
</file>