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0AD" w:rsidRDefault="005C30A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7744ADA52BC477A941286B63F62DF5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C30AD" w:rsidRPr="00585C31" w:rsidRDefault="005C30AD" w:rsidP="000F1DF9">
      <w:pPr>
        <w:spacing w:after="0" w:line="240" w:lineRule="auto"/>
        <w:rPr>
          <w:rFonts w:cs="Times New Roman"/>
          <w:szCs w:val="24"/>
        </w:rPr>
      </w:pPr>
    </w:p>
    <w:p w:rsidR="005C30AD" w:rsidRPr="00585C31" w:rsidRDefault="005C30A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C30AD" w:rsidTr="000F1DF9">
        <w:tc>
          <w:tcPr>
            <w:tcW w:w="2718" w:type="dxa"/>
          </w:tcPr>
          <w:p w:rsidR="005C30AD" w:rsidRPr="005C2A78" w:rsidRDefault="005C30A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9A15BC82C6F445DAF151DF104BCCF9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C30AD" w:rsidRPr="00FF6471" w:rsidRDefault="005C30A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05A38DDB6FE475E9F31500EA4F16B7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1567</w:t>
                </w:r>
              </w:sdtContent>
            </w:sdt>
          </w:p>
        </w:tc>
      </w:tr>
      <w:tr w:rsidR="005C30A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6B132F67E03462F874F4576EE08769A"/>
            </w:placeholder>
          </w:sdtPr>
          <w:sdtContent>
            <w:tc>
              <w:tcPr>
                <w:tcW w:w="2718" w:type="dxa"/>
              </w:tcPr>
              <w:p w:rsidR="005C30AD" w:rsidRPr="000F1DF9" w:rsidRDefault="005C30A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89R4653 DRS-F</w:t>
                </w:r>
              </w:p>
            </w:tc>
          </w:sdtContent>
        </w:sdt>
        <w:tc>
          <w:tcPr>
            <w:tcW w:w="6858" w:type="dxa"/>
          </w:tcPr>
          <w:p w:rsidR="005C30AD" w:rsidRPr="005C2A78" w:rsidRDefault="005C30A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F5142EE6FE04AC5BD75972019F94C3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CC5AF5C1F104987BA940C503609338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6EB941925B04BE1B398E00D46BDA8B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78F67250A7E84BA6A2AF87ED6B4DF350"/>
                </w:placeholder>
                <w:showingPlcHdr/>
              </w:sdtPr>
              <w:sdtContent/>
            </w:sdt>
          </w:p>
        </w:tc>
      </w:tr>
      <w:tr w:rsidR="005C30AD" w:rsidTr="000F1DF9">
        <w:tc>
          <w:tcPr>
            <w:tcW w:w="2718" w:type="dxa"/>
          </w:tcPr>
          <w:p w:rsidR="005C30AD" w:rsidRPr="00BC7495" w:rsidRDefault="005C30A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4A13949DB204400947D1A19A02E62C1"/>
            </w:placeholder>
          </w:sdtPr>
          <w:sdtContent>
            <w:tc>
              <w:tcPr>
                <w:tcW w:w="6858" w:type="dxa"/>
              </w:tcPr>
              <w:p w:rsidR="005C30AD" w:rsidRPr="00FF6471" w:rsidRDefault="005C30A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5C30AD" w:rsidTr="000F1DF9">
        <w:tc>
          <w:tcPr>
            <w:tcW w:w="2718" w:type="dxa"/>
          </w:tcPr>
          <w:p w:rsidR="005C30AD" w:rsidRPr="00BC7495" w:rsidRDefault="005C30A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F86ED581120494389486150A411D869"/>
            </w:placeholder>
            <w:date w:fullDate="2025-03-1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C30AD" w:rsidRPr="00FF6471" w:rsidRDefault="005C30A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3/14/2025</w:t>
                </w:r>
              </w:p>
            </w:tc>
          </w:sdtContent>
        </w:sdt>
      </w:tr>
      <w:tr w:rsidR="005C30AD" w:rsidTr="000F1DF9">
        <w:tc>
          <w:tcPr>
            <w:tcW w:w="2718" w:type="dxa"/>
          </w:tcPr>
          <w:p w:rsidR="005C30AD" w:rsidRPr="00BC7495" w:rsidRDefault="005C30A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50E1C6A5CA34F7AAB5870EAEFB455ED"/>
            </w:placeholder>
          </w:sdtPr>
          <w:sdtContent>
            <w:tc>
              <w:tcPr>
                <w:tcW w:w="6858" w:type="dxa"/>
              </w:tcPr>
              <w:p w:rsidR="005C30AD" w:rsidRPr="00FF6471" w:rsidRDefault="005C30A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5C30AD" w:rsidRPr="00FF6471" w:rsidRDefault="005C30AD" w:rsidP="000F1DF9">
      <w:pPr>
        <w:spacing w:after="0" w:line="240" w:lineRule="auto"/>
        <w:rPr>
          <w:rFonts w:cs="Times New Roman"/>
          <w:szCs w:val="24"/>
        </w:rPr>
      </w:pPr>
    </w:p>
    <w:p w:rsidR="005C30AD" w:rsidRPr="00FF6471" w:rsidRDefault="005C30AD" w:rsidP="000F1DF9">
      <w:pPr>
        <w:spacing w:after="0" w:line="240" w:lineRule="auto"/>
        <w:rPr>
          <w:rFonts w:cs="Times New Roman"/>
          <w:szCs w:val="24"/>
        </w:rPr>
      </w:pPr>
    </w:p>
    <w:p w:rsidR="005C30AD" w:rsidRPr="00FF6471" w:rsidRDefault="005C30A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5E011D6D49B4D468FB7E7F28C6037A0"/>
        </w:placeholder>
      </w:sdtPr>
      <w:sdtContent>
        <w:p w:rsidR="005C30AD" w:rsidRDefault="005C30A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083773D6C4A941F99B1FAE720C09AE6F"/>
        </w:placeholder>
      </w:sdtPr>
      <w:sdtContent>
        <w:p w:rsidR="005C30AD" w:rsidRDefault="005C30AD" w:rsidP="005C30AD">
          <w:pPr>
            <w:pStyle w:val="NormalWeb"/>
            <w:spacing w:before="0" w:beforeAutospacing="0" w:after="0" w:afterAutospacing="0"/>
            <w:jc w:val="both"/>
            <w:divId w:val="1257516982"/>
            <w:rPr>
              <w:rFonts w:eastAsia="Times New Roman"/>
              <w:bCs/>
            </w:rPr>
          </w:pPr>
        </w:p>
        <w:p w:rsidR="005C30AD" w:rsidRDefault="005C30AD" w:rsidP="005C30AD">
          <w:pPr>
            <w:pStyle w:val="NormalWeb"/>
            <w:spacing w:before="0" w:beforeAutospacing="0" w:after="0" w:afterAutospacing="0"/>
            <w:jc w:val="both"/>
            <w:divId w:val="1257516982"/>
          </w:pPr>
          <w:r w:rsidRPr="00DB43D1">
            <w:t xml:space="preserve">Under home-rule municipal authority, some cities regulate by ordinance the number of unrelated individuals </w:t>
          </w:r>
          <w:r>
            <w:t>who</w:t>
          </w:r>
          <w:r w:rsidRPr="00DB43D1">
            <w:t xml:space="preserve"> may reside in the same dwelling unit, regardless of the dwelling</w:t>
          </w:r>
          <w:r>
            <w:t>'</w:t>
          </w:r>
          <w:r w:rsidRPr="00DB43D1">
            <w:t>s size. These types of ordinances restrict individual property owners and tenants from maximizing the use of a dwelling unit</w:t>
          </w:r>
          <w:r>
            <w:t>'</w:t>
          </w:r>
          <w:r w:rsidRPr="00DB43D1">
            <w:t>s potential, and result in tenants having to seek more expensive living arrangement alternatives.</w:t>
          </w:r>
        </w:p>
        <w:p w:rsidR="005C30AD" w:rsidRDefault="005C30AD" w:rsidP="005C30AD">
          <w:pPr>
            <w:pStyle w:val="NormalWeb"/>
            <w:spacing w:before="0" w:beforeAutospacing="0" w:after="0" w:afterAutospacing="0"/>
            <w:jc w:val="both"/>
            <w:divId w:val="1257516982"/>
          </w:pPr>
          <w:r w:rsidRPr="00DB43D1">
            <w:br/>
            <w:t>Further, it has been reported that some home-rule municipalities have sought to enforce these types of ordinances with enforcement mechanisms that could qualify as harassment under revised penal code statutes, such as tracking individuals</w:t>
          </w:r>
          <w:r>
            <w:t>'</w:t>
          </w:r>
          <w:r w:rsidRPr="00DB43D1">
            <w:t xml:space="preserve"> motor vehicles over extended periods.</w:t>
          </w:r>
        </w:p>
        <w:p w:rsidR="005C30AD" w:rsidRDefault="005C30AD" w:rsidP="005C30AD">
          <w:pPr>
            <w:pStyle w:val="NormalWeb"/>
            <w:spacing w:before="0" w:beforeAutospacing="0" w:after="0" w:afterAutospacing="0"/>
            <w:jc w:val="both"/>
            <w:divId w:val="1257516982"/>
          </w:pPr>
          <w:r w:rsidRPr="00DB43D1">
            <w:br/>
            <w:t>S</w:t>
          </w:r>
          <w:r>
            <w:t xml:space="preserve">.B. </w:t>
          </w:r>
          <w:r w:rsidRPr="00DB43D1">
            <w:t>1567 seeks to alleviate these burdens by prohibiting a municipality from adopting or enforcing an ordinance that limits the number of people who may occupy a dwelling unit based on age, familial status, occupation, relationship status, or whether the occupants are related to each other by a certain degree of consanguinity.</w:t>
          </w:r>
        </w:p>
        <w:p w:rsidR="005C30AD" w:rsidRPr="00DB43D1" w:rsidRDefault="005C30AD" w:rsidP="005C30AD">
          <w:pPr>
            <w:pStyle w:val="NormalWeb"/>
            <w:spacing w:before="0" w:beforeAutospacing="0" w:after="0" w:afterAutospacing="0"/>
            <w:jc w:val="both"/>
            <w:divId w:val="1257516982"/>
          </w:pPr>
        </w:p>
      </w:sdtContent>
    </w:sdt>
    <w:p w:rsidR="005C30AD" w:rsidRDefault="005C30AD" w:rsidP="00C6015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1567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authority of home-rule municipalities to regulate the occupancy of dwelling units.</w:t>
      </w:r>
    </w:p>
    <w:p w:rsidR="005C30AD" w:rsidRPr="00C60152" w:rsidRDefault="005C30AD" w:rsidP="00C6015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5C30AD" w:rsidRPr="005C2A78" w:rsidRDefault="005C30AD" w:rsidP="00C6015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DB8B7A016CE44B592FE499D66FA816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C30AD" w:rsidRPr="006529C4" w:rsidRDefault="005C30AD" w:rsidP="00C60152">
      <w:pPr>
        <w:spacing w:after="0" w:line="240" w:lineRule="auto"/>
        <w:jc w:val="both"/>
        <w:rPr>
          <w:rFonts w:cs="Times New Roman"/>
          <w:szCs w:val="24"/>
        </w:rPr>
      </w:pPr>
    </w:p>
    <w:p w:rsidR="005C30AD" w:rsidRDefault="005C30AD" w:rsidP="00C60152">
      <w:pPr>
        <w:spacing w:after="0" w:line="240" w:lineRule="auto"/>
        <w:jc w:val="both"/>
        <w:rPr>
          <w:rFonts w:cs="Times New Roman"/>
          <w:szCs w:val="24"/>
        </w:rPr>
      </w:pPr>
      <w:bookmarkStart w:id="2" w:name="_Hlk190152572"/>
      <w:r w:rsidRPr="0042683D">
        <w:rPr>
          <w:rFonts w:cs="Times New Roman"/>
          <w:szCs w:val="24"/>
        </w:rPr>
        <w:t>This bill does not expressly grant any additional rulemaking authority to a state officer, institution, or agency.</w:t>
      </w:r>
      <w:bookmarkEnd w:id="2"/>
    </w:p>
    <w:p w:rsidR="005C30AD" w:rsidRPr="006529C4" w:rsidRDefault="005C30AD" w:rsidP="00C60152">
      <w:pPr>
        <w:spacing w:after="0" w:line="240" w:lineRule="auto"/>
        <w:jc w:val="both"/>
        <w:rPr>
          <w:rFonts w:cs="Times New Roman"/>
          <w:szCs w:val="24"/>
        </w:rPr>
      </w:pPr>
    </w:p>
    <w:p w:rsidR="005C30AD" w:rsidRPr="005C2A78" w:rsidRDefault="005C30AD" w:rsidP="00C6015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DC4A130EE6248E6B17A442F2510159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C30AD" w:rsidRPr="005C2A78" w:rsidRDefault="005C30AD" w:rsidP="00C601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C30AD" w:rsidRDefault="005C30AD" w:rsidP="00C6015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Chapter 211, Local Government Code, by adding Subchapter D, as follows: </w:t>
      </w:r>
    </w:p>
    <w:p w:rsidR="005C30AD" w:rsidRDefault="005C30AD" w:rsidP="00C601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C30AD" w:rsidRPr="00C60152" w:rsidRDefault="005C30AD" w:rsidP="00C60152">
      <w:pPr>
        <w:spacing w:after="0" w:line="240" w:lineRule="auto"/>
        <w:ind w:left="720"/>
        <w:jc w:val="center"/>
        <w:rPr>
          <w:rFonts w:eastAsia="Times New Roman" w:cs="Times New Roman"/>
          <w:szCs w:val="24"/>
        </w:rPr>
      </w:pPr>
      <w:r w:rsidRPr="00C60152">
        <w:rPr>
          <w:rFonts w:eastAsia="Times New Roman" w:cs="Times New Roman"/>
          <w:szCs w:val="24"/>
        </w:rPr>
        <w:t>SUBCHAPTER D.  RESIDENTIAL ZONING LIMITATIONS RELATED TO OCCUPANCY IN CERTAIN MUNICIPALITIES</w:t>
      </w:r>
    </w:p>
    <w:p w:rsidR="005C30AD" w:rsidRPr="00C60152" w:rsidRDefault="005C30AD" w:rsidP="00C60152">
      <w:pPr>
        <w:spacing w:after="0" w:line="240" w:lineRule="auto"/>
        <w:jc w:val="both"/>
        <w:rPr>
          <w:rFonts w:eastAsia="Times New Roman" w:cs="Times New Roman"/>
          <w:szCs w:val="24"/>
          <w:highlight w:val="yellow"/>
        </w:rPr>
      </w:pPr>
    </w:p>
    <w:p w:rsidR="005C30AD" w:rsidRPr="00C60152" w:rsidRDefault="005C30AD" w:rsidP="00C60152">
      <w:pPr>
        <w:spacing w:after="0" w:line="240" w:lineRule="auto"/>
        <w:ind w:left="720"/>
        <w:jc w:val="both"/>
        <w:rPr>
          <w:rFonts w:eastAsia="Times New Roman" w:cs="Times New Roman"/>
          <w:szCs w:val="24"/>
          <w:highlight w:val="yellow"/>
        </w:rPr>
      </w:pPr>
      <w:r w:rsidRPr="00C60152">
        <w:rPr>
          <w:rFonts w:eastAsia="Times New Roman" w:cs="Times New Roman"/>
          <w:szCs w:val="24"/>
        </w:rPr>
        <w:t>Sec. 211.051.  DEFINITION. Defines "dwelling unit."</w:t>
      </w:r>
    </w:p>
    <w:p w:rsidR="005C30AD" w:rsidRPr="00C60152" w:rsidRDefault="005C30AD" w:rsidP="00C60152">
      <w:pPr>
        <w:spacing w:after="0" w:line="240" w:lineRule="auto"/>
        <w:ind w:left="720"/>
        <w:jc w:val="both"/>
        <w:rPr>
          <w:rFonts w:eastAsia="Times New Roman" w:cs="Times New Roman"/>
          <w:szCs w:val="24"/>
          <w:highlight w:val="yellow"/>
        </w:rPr>
      </w:pPr>
    </w:p>
    <w:p w:rsidR="005C30AD" w:rsidRPr="00C60152" w:rsidRDefault="005C30AD" w:rsidP="00C6015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60152">
        <w:rPr>
          <w:rFonts w:eastAsia="Times New Roman" w:cs="Times New Roman"/>
          <w:szCs w:val="24"/>
        </w:rPr>
        <w:t>Sec. 211.052.  APPLICABILITY. Provides that this subchapter applies only to a home-rule municipality.</w:t>
      </w:r>
    </w:p>
    <w:p w:rsidR="005C30AD" w:rsidRPr="00C60152" w:rsidRDefault="005C30AD" w:rsidP="00C60152">
      <w:pPr>
        <w:spacing w:after="0" w:line="240" w:lineRule="auto"/>
        <w:ind w:left="720"/>
        <w:jc w:val="both"/>
        <w:rPr>
          <w:rFonts w:eastAsia="Times New Roman" w:cs="Times New Roman"/>
          <w:szCs w:val="24"/>
          <w:highlight w:val="yellow"/>
        </w:rPr>
      </w:pPr>
    </w:p>
    <w:p w:rsidR="005C30AD" w:rsidRPr="00C60152" w:rsidRDefault="005C30AD" w:rsidP="00C6015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60152">
        <w:rPr>
          <w:rFonts w:eastAsia="Times New Roman" w:cs="Times New Roman"/>
          <w:szCs w:val="24"/>
        </w:rPr>
        <w:t xml:space="preserve">Sec. 211.053.  DWELLING UNIT OCCUPANCY REQUIREMENTS. Prohibits a municipality from adopting or enforcing a zoning ordinance, rule, or other regulation that limits the number of people who are authorized to occupy a dwelling unit based on certain </w:t>
      </w:r>
      <w:r>
        <w:rPr>
          <w:rFonts w:eastAsia="Times New Roman" w:cs="Times New Roman"/>
          <w:szCs w:val="24"/>
        </w:rPr>
        <w:t>factors</w:t>
      </w:r>
      <w:r w:rsidRPr="00C60152">
        <w:rPr>
          <w:rFonts w:eastAsia="Times New Roman" w:cs="Times New Roman"/>
          <w:szCs w:val="24"/>
        </w:rPr>
        <w:t xml:space="preserve">. </w:t>
      </w:r>
    </w:p>
    <w:p w:rsidR="005C30AD" w:rsidRPr="00C60152" w:rsidRDefault="005C30AD" w:rsidP="00C60152">
      <w:pPr>
        <w:spacing w:after="0" w:line="240" w:lineRule="auto"/>
        <w:ind w:left="720"/>
        <w:jc w:val="both"/>
        <w:rPr>
          <w:rFonts w:eastAsia="Times New Roman" w:cs="Times New Roman"/>
          <w:szCs w:val="24"/>
          <w:highlight w:val="yellow"/>
        </w:rPr>
      </w:pPr>
    </w:p>
    <w:p w:rsidR="005C30AD" w:rsidRPr="00C60152" w:rsidRDefault="005C30AD" w:rsidP="00C6015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60152">
        <w:rPr>
          <w:rFonts w:eastAsia="Times New Roman" w:cs="Times New Roman"/>
          <w:szCs w:val="24"/>
        </w:rPr>
        <w:t xml:space="preserve">Sec. 211.054.  NO EFFECT ON OTHER ZONING AUTHORITY. Provides that this subchapter does not prohibit a municipality from imposing a limit on the number of people who are authorized to occupy a dwelling unit based on health and safety standards contained in certain guidelines. </w:t>
      </w:r>
    </w:p>
    <w:p w:rsidR="005C30AD" w:rsidRPr="00C60152" w:rsidRDefault="005C30AD" w:rsidP="00C60152">
      <w:pPr>
        <w:spacing w:after="0" w:line="240" w:lineRule="auto"/>
        <w:ind w:left="720"/>
        <w:jc w:val="both"/>
        <w:rPr>
          <w:rFonts w:eastAsia="Times New Roman" w:cs="Times New Roman"/>
          <w:szCs w:val="24"/>
          <w:highlight w:val="yellow"/>
        </w:rPr>
      </w:pPr>
    </w:p>
    <w:p w:rsidR="005C30AD" w:rsidRPr="00C60152" w:rsidRDefault="005C30AD" w:rsidP="00C6015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60152">
        <w:rPr>
          <w:rFonts w:eastAsia="Times New Roman" w:cs="Times New Roman"/>
          <w:szCs w:val="24"/>
        </w:rPr>
        <w:t>Sec. 211.055. NO EFFECT ON PROPERTY OWNERS' ASSOCIATIONS AND OTHER PRIVATE AGREEMENTS. Provides that this subchapter does not prohibit a property owner from enforcing rules or deed restrictions imposed by a property owners' association or by other private agreement.</w:t>
      </w:r>
    </w:p>
    <w:p w:rsidR="005C30AD" w:rsidRPr="00C60152" w:rsidRDefault="005C30AD" w:rsidP="00C60152">
      <w:pPr>
        <w:spacing w:after="0" w:line="240" w:lineRule="auto"/>
        <w:ind w:left="720"/>
        <w:jc w:val="both"/>
        <w:rPr>
          <w:rFonts w:eastAsia="Times New Roman" w:cs="Times New Roman"/>
          <w:szCs w:val="24"/>
          <w:highlight w:val="yellow"/>
        </w:rPr>
      </w:pPr>
    </w:p>
    <w:p w:rsidR="005C30AD" w:rsidRPr="00C60152" w:rsidRDefault="005C30AD" w:rsidP="00C6015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60152">
        <w:rPr>
          <w:rFonts w:eastAsia="Times New Roman" w:cs="Times New Roman"/>
          <w:szCs w:val="24"/>
        </w:rPr>
        <w:t>Sec. 211.056.  PROPERTY OWNER ACTION. (a) Authorizes a property owner in a municipality that violates this subchapter to bring an action against the municipality for damages incurred due to the violation and for appropriate equitable relief.</w:t>
      </w:r>
    </w:p>
    <w:p w:rsidR="005C30AD" w:rsidRPr="00C60152" w:rsidRDefault="005C30AD" w:rsidP="00C60152">
      <w:pPr>
        <w:spacing w:after="0" w:line="240" w:lineRule="auto"/>
        <w:ind w:left="720"/>
        <w:jc w:val="both"/>
        <w:rPr>
          <w:rFonts w:eastAsia="Times New Roman" w:cs="Times New Roman"/>
          <w:szCs w:val="24"/>
          <w:highlight w:val="yellow"/>
        </w:rPr>
      </w:pPr>
    </w:p>
    <w:p w:rsidR="005C30AD" w:rsidRPr="00C60152" w:rsidRDefault="005C30AD" w:rsidP="00C6015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C60152">
        <w:rPr>
          <w:rFonts w:eastAsia="Times New Roman" w:cs="Times New Roman"/>
          <w:szCs w:val="24"/>
        </w:rPr>
        <w:t>(b)  Provides that governmental immunity of the municipality to suit and from liability is waived to the extent of liability created by this section.</w:t>
      </w:r>
    </w:p>
    <w:p w:rsidR="005C30AD" w:rsidRPr="00C60152" w:rsidRDefault="005C30AD" w:rsidP="00C60152">
      <w:pPr>
        <w:spacing w:after="0" w:line="240" w:lineRule="auto"/>
        <w:ind w:left="1440"/>
        <w:jc w:val="both"/>
        <w:rPr>
          <w:rFonts w:eastAsia="Times New Roman" w:cs="Times New Roman"/>
          <w:szCs w:val="24"/>
          <w:highlight w:val="yellow"/>
        </w:rPr>
      </w:pPr>
    </w:p>
    <w:p w:rsidR="005C30AD" w:rsidRPr="005C2A78" w:rsidRDefault="005C30AD" w:rsidP="00C6015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C60152">
        <w:rPr>
          <w:rFonts w:eastAsia="Times New Roman" w:cs="Times New Roman"/>
          <w:szCs w:val="24"/>
        </w:rPr>
        <w:t>(c)  Authorizes a court to award a prevailing claimant reasonable attorney's fees incurred in bringing an action under this section.</w:t>
      </w:r>
    </w:p>
    <w:p w:rsidR="005C30AD" w:rsidRPr="005C2A78" w:rsidRDefault="005C30AD" w:rsidP="00C601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C30AD" w:rsidRPr="00C8671F" w:rsidRDefault="005C30AD" w:rsidP="00C6015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2025. </w:t>
      </w:r>
    </w:p>
    <w:sectPr w:rsidR="005C30AD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6DF7" w:rsidRDefault="00C76DF7" w:rsidP="000F1DF9">
      <w:pPr>
        <w:spacing w:after="0" w:line="240" w:lineRule="auto"/>
      </w:pPr>
      <w:r>
        <w:separator/>
      </w:r>
    </w:p>
  </w:endnote>
  <w:endnote w:type="continuationSeparator" w:id="0">
    <w:p w:rsidR="00C76DF7" w:rsidRDefault="00C76DF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76DF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C30AD">
                <w:rPr>
                  <w:sz w:val="20"/>
                  <w:szCs w:val="20"/>
                </w:rPr>
                <w:t>CES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C30AD">
                <w:rPr>
                  <w:sz w:val="20"/>
                  <w:szCs w:val="20"/>
                </w:rPr>
                <w:t>S.B. 1567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C30AD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76DF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6DF7" w:rsidRDefault="00C76DF7" w:rsidP="000F1DF9">
      <w:pPr>
        <w:spacing w:after="0" w:line="240" w:lineRule="auto"/>
      </w:pPr>
      <w:r>
        <w:separator/>
      </w:r>
    </w:p>
  </w:footnote>
  <w:footnote w:type="continuationSeparator" w:id="0">
    <w:p w:rsidR="00C76DF7" w:rsidRDefault="00C76DF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C30AD"/>
    <w:rsid w:val="005E0AC7"/>
    <w:rsid w:val="005F46D7"/>
    <w:rsid w:val="00605CA0"/>
    <w:rsid w:val="006529C4"/>
    <w:rsid w:val="006D756B"/>
    <w:rsid w:val="00774EC7"/>
    <w:rsid w:val="007B2101"/>
    <w:rsid w:val="00833061"/>
    <w:rsid w:val="008A6859"/>
    <w:rsid w:val="0093341F"/>
    <w:rsid w:val="009562E3"/>
    <w:rsid w:val="00986E9F"/>
    <w:rsid w:val="00AB572D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76DF7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33D85"/>
  <w15:docId w15:val="{81633549-0D83-4718-B0C1-DDD5FCFB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30A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7744ADA52BC477A941286B63F62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0892B-A56C-4124-BE4B-C8D98F0C47CD}"/>
      </w:docPartPr>
      <w:docPartBody>
        <w:p w:rsidR="00840C90" w:rsidRDefault="00840C90"/>
      </w:docPartBody>
    </w:docPart>
    <w:docPart>
      <w:docPartPr>
        <w:name w:val="A9A15BC82C6F445DAF151DF104BCC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E3A1-8048-4F16-A922-60808F12DF8F}"/>
      </w:docPartPr>
      <w:docPartBody>
        <w:p w:rsidR="00840C90" w:rsidRDefault="00840C90"/>
      </w:docPartBody>
    </w:docPart>
    <w:docPart>
      <w:docPartPr>
        <w:name w:val="A05A38DDB6FE475E9F31500EA4F1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C752-DDA2-4444-BCE1-A1D1CD855DC7}"/>
      </w:docPartPr>
      <w:docPartBody>
        <w:p w:rsidR="00840C90" w:rsidRDefault="00840C90"/>
      </w:docPartBody>
    </w:docPart>
    <w:docPart>
      <w:docPartPr>
        <w:name w:val="66B132F67E03462F874F4576EE08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805E-A37F-42EB-AF2C-C4DA49B0E498}"/>
      </w:docPartPr>
      <w:docPartBody>
        <w:p w:rsidR="00840C90" w:rsidRDefault="00840C90"/>
      </w:docPartBody>
    </w:docPart>
    <w:docPart>
      <w:docPartPr>
        <w:name w:val="BF5142EE6FE04AC5BD75972019F94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1AB6F-771B-404C-B0B3-A32FDAB2AFD8}"/>
      </w:docPartPr>
      <w:docPartBody>
        <w:p w:rsidR="00840C90" w:rsidRDefault="00840C90"/>
      </w:docPartBody>
    </w:docPart>
    <w:docPart>
      <w:docPartPr>
        <w:name w:val="DCC5AF5C1F104987BA940C5036093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03F9-E86A-46FC-B557-8F0BB85C419B}"/>
      </w:docPartPr>
      <w:docPartBody>
        <w:p w:rsidR="00840C90" w:rsidRDefault="00840C90"/>
      </w:docPartBody>
    </w:docPart>
    <w:docPart>
      <w:docPartPr>
        <w:name w:val="96EB941925B04BE1B398E00D46BDA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B739-3D00-4B5D-B060-579DB023627E}"/>
      </w:docPartPr>
      <w:docPartBody>
        <w:p w:rsidR="00840C90" w:rsidRDefault="00840C90"/>
      </w:docPartBody>
    </w:docPart>
    <w:docPart>
      <w:docPartPr>
        <w:name w:val="78F67250A7E84BA6A2AF87ED6B4D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7831-2B44-495A-B970-7DA4D5D2660F}"/>
      </w:docPartPr>
      <w:docPartBody>
        <w:p w:rsidR="00840C90" w:rsidRDefault="00840C90"/>
      </w:docPartBody>
    </w:docPart>
    <w:docPart>
      <w:docPartPr>
        <w:name w:val="D4A13949DB204400947D1A19A02E6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7AC3-558D-4FDC-A74C-F968C855DBDC}"/>
      </w:docPartPr>
      <w:docPartBody>
        <w:p w:rsidR="00840C90" w:rsidRDefault="00840C90"/>
      </w:docPartBody>
    </w:docPart>
    <w:docPart>
      <w:docPartPr>
        <w:name w:val="AF86ED581120494389486150A411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73CC8-29AF-411D-A177-52F6D77466AA}"/>
      </w:docPartPr>
      <w:docPartBody>
        <w:p w:rsidR="00840C90" w:rsidRDefault="00AB1FC2" w:rsidP="00AB1FC2">
          <w:pPr>
            <w:pStyle w:val="AF86ED581120494389486150A411D86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50E1C6A5CA34F7AAB5870EAEFB45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B5BF2-6B94-4F5A-B249-CB7315BF57F1}"/>
      </w:docPartPr>
      <w:docPartBody>
        <w:p w:rsidR="00840C90" w:rsidRDefault="00840C90"/>
      </w:docPartBody>
    </w:docPart>
    <w:docPart>
      <w:docPartPr>
        <w:name w:val="75E011D6D49B4D468FB7E7F28C603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FF89-CD18-49EF-B68C-D067A88956B8}"/>
      </w:docPartPr>
      <w:docPartBody>
        <w:p w:rsidR="00840C90" w:rsidRDefault="00840C90"/>
      </w:docPartBody>
    </w:docPart>
    <w:docPart>
      <w:docPartPr>
        <w:name w:val="083773D6C4A941F99B1FAE720C09A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9E125-EF2B-4E17-A773-9D1A676820A7}"/>
      </w:docPartPr>
      <w:docPartBody>
        <w:p w:rsidR="00840C90" w:rsidRDefault="00AB1FC2" w:rsidP="00AB1FC2">
          <w:pPr>
            <w:pStyle w:val="083773D6C4A941F99B1FAE720C09AE6F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4DB8B7A016CE44B592FE499D66FA8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CECAA-2F7C-42FC-9709-DDFE302B964B}"/>
      </w:docPartPr>
      <w:docPartBody>
        <w:p w:rsidR="00840C90" w:rsidRDefault="00840C90"/>
      </w:docPartBody>
    </w:docPart>
    <w:docPart>
      <w:docPartPr>
        <w:name w:val="CDC4A130EE6248E6B17A442F25101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2BE5A-BCD4-4612-84E1-78573870226D}"/>
      </w:docPartPr>
      <w:docPartBody>
        <w:p w:rsidR="00840C90" w:rsidRDefault="00840C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B2101"/>
    <w:rsid w:val="00840C90"/>
    <w:rsid w:val="008C55F7"/>
    <w:rsid w:val="0090598B"/>
    <w:rsid w:val="00984D6C"/>
    <w:rsid w:val="00A54AD6"/>
    <w:rsid w:val="00A57564"/>
    <w:rsid w:val="00AB1FC2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FC2"/>
    <w:rPr>
      <w:color w:val="808080"/>
    </w:rPr>
  </w:style>
  <w:style w:type="paragraph" w:customStyle="1" w:styleId="AF86ED581120494389486150A411D869">
    <w:name w:val="AF86ED581120494389486150A411D869"/>
    <w:rsid w:val="00AB1FC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83773D6C4A941F99B1FAE720C09AE6F">
    <w:name w:val="083773D6C4A941F99B1FAE720C09AE6F"/>
    <w:rsid w:val="00AB1FC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483</Words>
  <Characters>2754</Characters>
  <Application>Microsoft Office Word</Application>
  <DocSecurity>0</DocSecurity>
  <Lines>22</Lines>
  <Paragraphs>6</Paragraphs>
  <ScaleCrop>false</ScaleCrop>
  <Company>Texas Legislative Council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Kyle Bell</cp:lastModifiedBy>
  <cp:revision>161</cp:revision>
  <cp:lastPrinted>2025-03-14T22:21:00Z</cp:lastPrinted>
  <dcterms:created xsi:type="dcterms:W3CDTF">2015-05-29T14:24:00Z</dcterms:created>
  <dcterms:modified xsi:type="dcterms:W3CDTF">2025-03-14T22:21:00Z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