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C7B5A" w14:paraId="2C9117F1" w14:textId="77777777" w:rsidTr="00345119">
        <w:tc>
          <w:tcPr>
            <w:tcW w:w="9576" w:type="dxa"/>
            <w:noWrap/>
          </w:tcPr>
          <w:p w14:paraId="1BC696BA" w14:textId="77777777" w:rsidR="008423E4" w:rsidRPr="0022177D" w:rsidRDefault="00D42ECE" w:rsidP="00CB6F7D">
            <w:pPr>
              <w:pStyle w:val="Heading1"/>
            </w:pPr>
            <w:r w:rsidRPr="00631897">
              <w:t>BILL ANALYSIS</w:t>
            </w:r>
          </w:p>
        </w:tc>
      </w:tr>
    </w:tbl>
    <w:p w14:paraId="55503F22" w14:textId="77777777" w:rsidR="008423E4" w:rsidRPr="0022177D" w:rsidRDefault="008423E4" w:rsidP="00CB6F7D">
      <w:pPr>
        <w:jc w:val="center"/>
      </w:pPr>
    </w:p>
    <w:p w14:paraId="0292D93E" w14:textId="77777777" w:rsidR="008423E4" w:rsidRPr="00B31F0E" w:rsidRDefault="008423E4" w:rsidP="00CB6F7D"/>
    <w:p w14:paraId="56A4C37D" w14:textId="77777777" w:rsidR="008423E4" w:rsidRPr="00742794" w:rsidRDefault="008423E4" w:rsidP="00CB6F7D">
      <w:pPr>
        <w:tabs>
          <w:tab w:val="right" w:pos="9360"/>
        </w:tabs>
      </w:pPr>
    </w:p>
    <w:tbl>
      <w:tblPr>
        <w:tblW w:w="0" w:type="auto"/>
        <w:tblLayout w:type="fixed"/>
        <w:tblLook w:val="01E0" w:firstRow="1" w:lastRow="1" w:firstColumn="1" w:lastColumn="1" w:noHBand="0" w:noVBand="0"/>
      </w:tblPr>
      <w:tblGrid>
        <w:gridCol w:w="9576"/>
      </w:tblGrid>
      <w:tr w:rsidR="00EC7B5A" w14:paraId="4F15AF82" w14:textId="77777777" w:rsidTr="00345119">
        <w:tc>
          <w:tcPr>
            <w:tcW w:w="9576" w:type="dxa"/>
          </w:tcPr>
          <w:p w14:paraId="09EC7373" w14:textId="2E463E1F" w:rsidR="008423E4" w:rsidRPr="00861995" w:rsidRDefault="00D42ECE" w:rsidP="00CB6F7D">
            <w:pPr>
              <w:jc w:val="right"/>
            </w:pPr>
            <w:r>
              <w:t>S.B. 1596</w:t>
            </w:r>
          </w:p>
        </w:tc>
      </w:tr>
      <w:tr w:rsidR="00EC7B5A" w14:paraId="702C68BF" w14:textId="77777777" w:rsidTr="00345119">
        <w:tc>
          <w:tcPr>
            <w:tcW w:w="9576" w:type="dxa"/>
          </w:tcPr>
          <w:p w14:paraId="0DFAF8EE" w14:textId="0EAD6D49" w:rsidR="008423E4" w:rsidRPr="00861995" w:rsidRDefault="00D42ECE" w:rsidP="00CB6F7D">
            <w:pPr>
              <w:jc w:val="right"/>
            </w:pPr>
            <w:r>
              <w:t xml:space="preserve">By: </w:t>
            </w:r>
            <w:r w:rsidR="00916E60">
              <w:t>Hagenbuch</w:t>
            </w:r>
          </w:p>
        </w:tc>
      </w:tr>
      <w:tr w:rsidR="00EC7B5A" w14:paraId="197689B5" w14:textId="77777777" w:rsidTr="00345119">
        <w:tc>
          <w:tcPr>
            <w:tcW w:w="9576" w:type="dxa"/>
          </w:tcPr>
          <w:p w14:paraId="72BB609E" w14:textId="57C9F25E" w:rsidR="008423E4" w:rsidRPr="00861995" w:rsidRDefault="00D42ECE" w:rsidP="00CB6F7D">
            <w:pPr>
              <w:jc w:val="right"/>
            </w:pPr>
            <w:r>
              <w:t>Homeland Security, Public Safety &amp; Veterans' Affairs</w:t>
            </w:r>
          </w:p>
        </w:tc>
      </w:tr>
      <w:tr w:rsidR="00EC7B5A" w14:paraId="1C0FCA59" w14:textId="77777777" w:rsidTr="00345119">
        <w:tc>
          <w:tcPr>
            <w:tcW w:w="9576" w:type="dxa"/>
          </w:tcPr>
          <w:p w14:paraId="738DA56A" w14:textId="08D957A0" w:rsidR="008423E4" w:rsidRDefault="00D42ECE" w:rsidP="00CB6F7D">
            <w:pPr>
              <w:jc w:val="right"/>
            </w:pPr>
            <w:r>
              <w:t>Committee Report (Unamended)</w:t>
            </w:r>
          </w:p>
        </w:tc>
      </w:tr>
    </w:tbl>
    <w:p w14:paraId="24D26F1B" w14:textId="77777777" w:rsidR="008423E4" w:rsidRDefault="008423E4" w:rsidP="00CB6F7D">
      <w:pPr>
        <w:tabs>
          <w:tab w:val="right" w:pos="9360"/>
        </w:tabs>
      </w:pPr>
    </w:p>
    <w:p w14:paraId="37FD302E" w14:textId="77777777" w:rsidR="008423E4" w:rsidRDefault="008423E4" w:rsidP="00CB6F7D"/>
    <w:p w14:paraId="072E3898" w14:textId="77777777" w:rsidR="008423E4" w:rsidRDefault="008423E4" w:rsidP="00CB6F7D"/>
    <w:tbl>
      <w:tblPr>
        <w:tblW w:w="0" w:type="auto"/>
        <w:tblCellMar>
          <w:left w:w="115" w:type="dxa"/>
          <w:right w:w="115" w:type="dxa"/>
        </w:tblCellMar>
        <w:tblLook w:val="01E0" w:firstRow="1" w:lastRow="1" w:firstColumn="1" w:lastColumn="1" w:noHBand="0" w:noVBand="0"/>
      </w:tblPr>
      <w:tblGrid>
        <w:gridCol w:w="9360"/>
      </w:tblGrid>
      <w:tr w:rsidR="00EC7B5A" w14:paraId="43A99F01" w14:textId="77777777" w:rsidTr="00345119">
        <w:tc>
          <w:tcPr>
            <w:tcW w:w="9576" w:type="dxa"/>
          </w:tcPr>
          <w:p w14:paraId="133DD791" w14:textId="77777777" w:rsidR="008423E4" w:rsidRPr="00A8133F" w:rsidRDefault="00D42ECE" w:rsidP="00CB6F7D">
            <w:pPr>
              <w:rPr>
                <w:b/>
              </w:rPr>
            </w:pPr>
            <w:r w:rsidRPr="009C1E9A">
              <w:rPr>
                <w:b/>
                <w:u w:val="single"/>
              </w:rPr>
              <w:t>BACKGROUND AND PURPOSE</w:t>
            </w:r>
            <w:r>
              <w:rPr>
                <w:b/>
              </w:rPr>
              <w:t xml:space="preserve"> </w:t>
            </w:r>
          </w:p>
          <w:p w14:paraId="46839FEE" w14:textId="77777777" w:rsidR="008423E4" w:rsidRDefault="008423E4" w:rsidP="00CB6F7D"/>
          <w:p w14:paraId="429B4786" w14:textId="703D400B" w:rsidR="008423E4" w:rsidRDefault="00D42ECE" w:rsidP="00CB6F7D">
            <w:pPr>
              <w:jc w:val="both"/>
            </w:pPr>
            <w:r>
              <w:t>Under current state law, it is an offense to intentionally or knowingly possess, manufacture, transport, repair, or sell a short-barrel firearm. However, it is an exception to the application of this offense that the firearm is registered in the National Firearms Registration and Transfer Record maintained by the federal Bureau of Alcohol, Tobacco, Firearms and Explosives (ATF) or otherwise not subject to that registration requirement. However, the bill sponsor has informed the committee that a 2023 ATF rul</w:t>
            </w:r>
            <w:r>
              <w:t xml:space="preserve">e regarding factoring criteria for firearms with attached "stabilizing braces" resulted in many short-barrel firearms being reclassified and newly subjected to registration with ATF under federal law. The bill sponsor has further informed the committee that </w:t>
            </w:r>
            <w:r w:rsidR="002A51E0">
              <w:t>as a result, previously legal weapons are now considered illegal under state law if not properly registered and a tax stamp is not obtained</w:t>
            </w:r>
            <w:r>
              <w:t xml:space="preserve">. S.B. 1596 seeks to address this issue by establishing that the </w:t>
            </w:r>
            <w:r w:rsidRPr="007D67C7">
              <w:t>possession, manufacture, transport, repair, or sal</w:t>
            </w:r>
            <w:r w:rsidRPr="007D67C7">
              <w:t>e</w:t>
            </w:r>
            <w:r>
              <w:t xml:space="preserve"> of short-barrel firearms is not prohibited under state law. </w:t>
            </w:r>
          </w:p>
          <w:p w14:paraId="5A13C641" w14:textId="77777777" w:rsidR="008423E4" w:rsidRPr="00E26B13" w:rsidRDefault="008423E4" w:rsidP="00CB6F7D">
            <w:pPr>
              <w:rPr>
                <w:b/>
              </w:rPr>
            </w:pPr>
          </w:p>
        </w:tc>
      </w:tr>
      <w:tr w:rsidR="00EC7B5A" w14:paraId="185CD07F" w14:textId="77777777" w:rsidTr="00345119">
        <w:tc>
          <w:tcPr>
            <w:tcW w:w="9576" w:type="dxa"/>
          </w:tcPr>
          <w:p w14:paraId="5D45B8B6" w14:textId="77777777" w:rsidR="0017725B" w:rsidRDefault="00D42ECE" w:rsidP="00CB6F7D">
            <w:pPr>
              <w:rPr>
                <w:b/>
                <w:u w:val="single"/>
              </w:rPr>
            </w:pPr>
            <w:r>
              <w:rPr>
                <w:b/>
                <w:u w:val="single"/>
              </w:rPr>
              <w:t>CRIMINAL JUSTICE IMPACT</w:t>
            </w:r>
          </w:p>
          <w:p w14:paraId="56CC05AB" w14:textId="77777777" w:rsidR="0017725B" w:rsidRDefault="0017725B" w:rsidP="00CB6F7D">
            <w:pPr>
              <w:rPr>
                <w:b/>
                <w:u w:val="single"/>
              </w:rPr>
            </w:pPr>
          </w:p>
          <w:p w14:paraId="6C024C02" w14:textId="4AD753AC" w:rsidR="0017725B" w:rsidRPr="00B20CAD" w:rsidRDefault="00D42ECE" w:rsidP="00CB6F7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F2ACF3B" w14:textId="77777777" w:rsidR="0017725B" w:rsidRPr="0017725B" w:rsidRDefault="0017725B" w:rsidP="00CB6F7D">
            <w:pPr>
              <w:rPr>
                <w:b/>
                <w:u w:val="single"/>
              </w:rPr>
            </w:pPr>
          </w:p>
        </w:tc>
      </w:tr>
      <w:tr w:rsidR="00EC7B5A" w14:paraId="671DBDF9" w14:textId="77777777" w:rsidTr="00345119">
        <w:tc>
          <w:tcPr>
            <w:tcW w:w="9576" w:type="dxa"/>
          </w:tcPr>
          <w:p w14:paraId="3BB7453F" w14:textId="77777777" w:rsidR="008423E4" w:rsidRPr="00A8133F" w:rsidRDefault="00D42ECE" w:rsidP="00CB6F7D">
            <w:pPr>
              <w:rPr>
                <w:b/>
              </w:rPr>
            </w:pPr>
            <w:r w:rsidRPr="009C1E9A">
              <w:rPr>
                <w:b/>
                <w:u w:val="single"/>
              </w:rPr>
              <w:t>RULEMAKING AUTHORITY</w:t>
            </w:r>
            <w:r>
              <w:rPr>
                <w:b/>
              </w:rPr>
              <w:t xml:space="preserve"> </w:t>
            </w:r>
          </w:p>
          <w:p w14:paraId="00E842B4" w14:textId="77777777" w:rsidR="008423E4" w:rsidRDefault="008423E4" w:rsidP="00CB6F7D"/>
          <w:p w14:paraId="6953AB6F" w14:textId="40A53BBD" w:rsidR="008423E4" w:rsidRDefault="00D42ECE" w:rsidP="00CB6F7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9E4BC6F" w14:textId="77777777" w:rsidR="008423E4" w:rsidRPr="00E21FDC" w:rsidRDefault="008423E4" w:rsidP="00CB6F7D">
            <w:pPr>
              <w:rPr>
                <w:b/>
              </w:rPr>
            </w:pPr>
          </w:p>
        </w:tc>
      </w:tr>
      <w:tr w:rsidR="00EC7B5A" w14:paraId="616BFA80" w14:textId="77777777" w:rsidTr="00345119">
        <w:tc>
          <w:tcPr>
            <w:tcW w:w="9576" w:type="dxa"/>
          </w:tcPr>
          <w:p w14:paraId="7B0DD684" w14:textId="77777777" w:rsidR="008423E4" w:rsidRPr="00A8133F" w:rsidRDefault="00D42ECE" w:rsidP="00CB6F7D">
            <w:pPr>
              <w:rPr>
                <w:b/>
              </w:rPr>
            </w:pPr>
            <w:r w:rsidRPr="009C1E9A">
              <w:rPr>
                <w:b/>
                <w:u w:val="single"/>
              </w:rPr>
              <w:t>ANALYSIS</w:t>
            </w:r>
            <w:r>
              <w:rPr>
                <w:b/>
              </w:rPr>
              <w:t xml:space="preserve"> </w:t>
            </w:r>
          </w:p>
          <w:p w14:paraId="5CEB76B8" w14:textId="77777777" w:rsidR="008423E4" w:rsidRDefault="008423E4" w:rsidP="00CB6F7D"/>
          <w:p w14:paraId="080DE27A" w14:textId="77777777" w:rsidR="00916E60" w:rsidRDefault="00D42ECE" w:rsidP="00CB6F7D">
            <w:pPr>
              <w:pStyle w:val="Header"/>
              <w:tabs>
                <w:tab w:val="clear" w:pos="4320"/>
                <w:tab w:val="clear" w:pos="8640"/>
              </w:tabs>
              <w:jc w:val="both"/>
            </w:pPr>
            <w:r>
              <w:t>S.B. 1596 amends the Penal Code to remove language making it an offense for a person to intentionally or knowingly possess, manufacture, transport, repair, or sell a short-barrel firearm.</w:t>
            </w:r>
            <w:r w:rsidRPr="004A2053">
              <w:t xml:space="preserve"> </w:t>
            </w:r>
            <w:r>
              <w:t xml:space="preserve">The bill </w:t>
            </w:r>
            <w:r w:rsidRPr="004A2053">
              <w:t>applies only to an offense committed on or after the bill's effective date</w:t>
            </w:r>
            <w:r>
              <w:t xml:space="preserv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was committed before that date. </w:t>
            </w:r>
          </w:p>
          <w:p w14:paraId="17B60683" w14:textId="77777777" w:rsidR="00916E60" w:rsidRDefault="00916E60" w:rsidP="00CB6F7D">
            <w:pPr>
              <w:pStyle w:val="Header"/>
              <w:tabs>
                <w:tab w:val="clear" w:pos="4320"/>
                <w:tab w:val="clear" w:pos="8640"/>
              </w:tabs>
              <w:jc w:val="both"/>
            </w:pPr>
          </w:p>
          <w:p w14:paraId="7804D8D3" w14:textId="77777777" w:rsidR="008423E4" w:rsidRDefault="00D42ECE" w:rsidP="00CB6F7D">
            <w:pPr>
              <w:pStyle w:val="Header"/>
              <w:tabs>
                <w:tab w:val="clear" w:pos="4320"/>
                <w:tab w:val="clear" w:pos="8640"/>
              </w:tabs>
              <w:jc w:val="both"/>
            </w:pPr>
            <w:r>
              <w:t xml:space="preserve">S.B. 1596 repeals </w:t>
            </w:r>
            <w:r w:rsidRPr="00633F83">
              <w:t>Section 46.01(10), Penal Code</w:t>
            </w:r>
            <w:r>
              <w:t>.</w:t>
            </w:r>
          </w:p>
          <w:p w14:paraId="4FFE14AC" w14:textId="741AA206" w:rsidR="00CB6F7D" w:rsidRPr="00835628" w:rsidRDefault="00CB6F7D" w:rsidP="00CB6F7D">
            <w:pPr>
              <w:pStyle w:val="Header"/>
              <w:tabs>
                <w:tab w:val="clear" w:pos="4320"/>
                <w:tab w:val="clear" w:pos="8640"/>
              </w:tabs>
              <w:jc w:val="both"/>
              <w:rPr>
                <w:b/>
              </w:rPr>
            </w:pPr>
          </w:p>
        </w:tc>
      </w:tr>
      <w:tr w:rsidR="00EC7B5A" w14:paraId="4392A63A" w14:textId="77777777" w:rsidTr="00345119">
        <w:tc>
          <w:tcPr>
            <w:tcW w:w="9576" w:type="dxa"/>
          </w:tcPr>
          <w:p w14:paraId="0675EF8C" w14:textId="77777777" w:rsidR="008423E4" w:rsidRPr="00A8133F" w:rsidRDefault="00D42ECE" w:rsidP="00CB6F7D">
            <w:pPr>
              <w:rPr>
                <w:b/>
              </w:rPr>
            </w:pPr>
            <w:r w:rsidRPr="009C1E9A">
              <w:rPr>
                <w:b/>
                <w:u w:val="single"/>
              </w:rPr>
              <w:t>EFFECTIVE DATE</w:t>
            </w:r>
            <w:r>
              <w:rPr>
                <w:b/>
              </w:rPr>
              <w:t xml:space="preserve"> </w:t>
            </w:r>
          </w:p>
          <w:p w14:paraId="757388AD" w14:textId="77777777" w:rsidR="008423E4" w:rsidRDefault="008423E4" w:rsidP="00CB6F7D"/>
          <w:p w14:paraId="68BE9E79" w14:textId="77777777" w:rsidR="002401C5" w:rsidRPr="003624F2" w:rsidRDefault="00D42ECE" w:rsidP="00CB6F7D">
            <w:pPr>
              <w:pStyle w:val="Header"/>
              <w:tabs>
                <w:tab w:val="clear" w:pos="4320"/>
                <w:tab w:val="clear" w:pos="8640"/>
              </w:tabs>
              <w:jc w:val="both"/>
            </w:pPr>
            <w:r>
              <w:t>September 1, 2025.</w:t>
            </w:r>
          </w:p>
          <w:p w14:paraId="382020AF" w14:textId="77777777" w:rsidR="008423E4" w:rsidRPr="00233FDB" w:rsidRDefault="008423E4" w:rsidP="00CB6F7D">
            <w:pPr>
              <w:rPr>
                <w:b/>
              </w:rPr>
            </w:pPr>
          </w:p>
        </w:tc>
      </w:tr>
    </w:tbl>
    <w:p w14:paraId="6BFFD1F0" w14:textId="77777777" w:rsidR="008423E4" w:rsidRPr="00BE0E75" w:rsidRDefault="008423E4" w:rsidP="00CB6F7D">
      <w:pPr>
        <w:jc w:val="both"/>
        <w:rPr>
          <w:rFonts w:ascii="Arial" w:hAnsi="Arial"/>
          <w:sz w:val="16"/>
          <w:szCs w:val="16"/>
        </w:rPr>
      </w:pPr>
    </w:p>
    <w:p w14:paraId="5025E058" w14:textId="77777777" w:rsidR="004108C3" w:rsidRPr="008423E4" w:rsidRDefault="004108C3" w:rsidP="00CB6F7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2AA4" w14:textId="77777777" w:rsidR="00D42ECE" w:rsidRDefault="00D42ECE">
      <w:r>
        <w:separator/>
      </w:r>
    </w:p>
  </w:endnote>
  <w:endnote w:type="continuationSeparator" w:id="0">
    <w:p w14:paraId="4141025E" w14:textId="77777777" w:rsidR="00D42ECE" w:rsidRDefault="00D4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6C8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C7B5A" w14:paraId="0D5150ED" w14:textId="77777777" w:rsidTr="009C1E9A">
      <w:trPr>
        <w:cantSplit/>
      </w:trPr>
      <w:tc>
        <w:tcPr>
          <w:tcW w:w="0" w:type="pct"/>
        </w:tcPr>
        <w:p w14:paraId="6B409C12" w14:textId="77777777" w:rsidR="00137D90" w:rsidRDefault="00137D90" w:rsidP="009C1E9A">
          <w:pPr>
            <w:pStyle w:val="Footer"/>
            <w:tabs>
              <w:tab w:val="clear" w:pos="8640"/>
              <w:tab w:val="right" w:pos="9360"/>
            </w:tabs>
          </w:pPr>
        </w:p>
      </w:tc>
      <w:tc>
        <w:tcPr>
          <w:tcW w:w="2395" w:type="pct"/>
        </w:tcPr>
        <w:p w14:paraId="28B03CA7" w14:textId="77777777" w:rsidR="00137D90" w:rsidRDefault="00137D90" w:rsidP="009C1E9A">
          <w:pPr>
            <w:pStyle w:val="Footer"/>
            <w:tabs>
              <w:tab w:val="clear" w:pos="8640"/>
              <w:tab w:val="right" w:pos="9360"/>
            </w:tabs>
          </w:pPr>
        </w:p>
        <w:p w14:paraId="0C138B8B" w14:textId="77777777" w:rsidR="001A4310" w:rsidRDefault="001A4310" w:rsidP="009C1E9A">
          <w:pPr>
            <w:pStyle w:val="Footer"/>
            <w:tabs>
              <w:tab w:val="clear" w:pos="8640"/>
              <w:tab w:val="right" w:pos="9360"/>
            </w:tabs>
          </w:pPr>
        </w:p>
        <w:p w14:paraId="64DD01CD" w14:textId="77777777" w:rsidR="00137D90" w:rsidRDefault="00137D90" w:rsidP="009C1E9A">
          <w:pPr>
            <w:pStyle w:val="Footer"/>
            <w:tabs>
              <w:tab w:val="clear" w:pos="8640"/>
              <w:tab w:val="right" w:pos="9360"/>
            </w:tabs>
          </w:pPr>
        </w:p>
      </w:tc>
      <w:tc>
        <w:tcPr>
          <w:tcW w:w="2453" w:type="pct"/>
        </w:tcPr>
        <w:p w14:paraId="0D9AF90E" w14:textId="77777777" w:rsidR="00137D90" w:rsidRDefault="00137D90" w:rsidP="009C1E9A">
          <w:pPr>
            <w:pStyle w:val="Footer"/>
            <w:tabs>
              <w:tab w:val="clear" w:pos="8640"/>
              <w:tab w:val="right" w:pos="9360"/>
            </w:tabs>
            <w:jc w:val="right"/>
          </w:pPr>
        </w:p>
      </w:tc>
    </w:tr>
    <w:tr w:rsidR="00EC7B5A" w14:paraId="79D83BE7" w14:textId="77777777" w:rsidTr="009C1E9A">
      <w:trPr>
        <w:cantSplit/>
      </w:trPr>
      <w:tc>
        <w:tcPr>
          <w:tcW w:w="0" w:type="pct"/>
        </w:tcPr>
        <w:p w14:paraId="039A487A" w14:textId="77777777" w:rsidR="00EC379B" w:rsidRDefault="00EC379B" w:rsidP="009C1E9A">
          <w:pPr>
            <w:pStyle w:val="Footer"/>
            <w:tabs>
              <w:tab w:val="clear" w:pos="8640"/>
              <w:tab w:val="right" w:pos="9360"/>
            </w:tabs>
          </w:pPr>
        </w:p>
      </w:tc>
      <w:tc>
        <w:tcPr>
          <w:tcW w:w="2395" w:type="pct"/>
        </w:tcPr>
        <w:p w14:paraId="50DB2286" w14:textId="7963E872" w:rsidR="00EC379B" w:rsidRPr="009C1E9A" w:rsidRDefault="00D42ECE" w:rsidP="009C1E9A">
          <w:pPr>
            <w:pStyle w:val="Footer"/>
            <w:tabs>
              <w:tab w:val="clear" w:pos="8640"/>
              <w:tab w:val="right" w:pos="9360"/>
            </w:tabs>
            <w:rPr>
              <w:rFonts w:ascii="Shruti" w:hAnsi="Shruti"/>
              <w:sz w:val="22"/>
            </w:rPr>
          </w:pPr>
          <w:r>
            <w:rPr>
              <w:rFonts w:ascii="Shruti" w:hAnsi="Shruti"/>
              <w:sz w:val="22"/>
            </w:rPr>
            <w:t>89R 28751-D</w:t>
          </w:r>
        </w:p>
      </w:tc>
      <w:tc>
        <w:tcPr>
          <w:tcW w:w="2453" w:type="pct"/>
        </w:tcPr>
        <w:p w14:paraId="01C83CFC" w14:textId="78CEC71A" w:rsidR="00EC379B" w:rsidRDefault="00D42ECE" w:rsidP="009C1E9A">
          <w:pPr>
            <w:pStyle w:val="Footer"/>
            <w:tabs>
              <w:tab w:val="clear" w:pos="8640"/>
              <w:tab w:val="right" w:pos="9360"/>
            </w:tabs>
            <w:jc w:val="right"/>
          </w:pPr>
          <w:r>
            <w:fldChar w:fldCharType="begin"/>
          </w:r>
          <w:r>
            <w:instrText xml:space="preserve"> DOCPROPERTY  OTID  \* MERGEFORMAT </w:instrText>
          </w:r>
          <w:r>
            <w:fldChar w:fldCharType="separate"/>
          </w:r>
          <w:r w:rsidR="00B17AD6">
            <w:t>25.125.2083</w:t>
          </w:r>
          <w:r>
            <w:fldChar w:fldCharType="end"/>
          </w:r>
        </w:p>
      </w:tc>
    </w:tr>
    <w:tr w:rsidR="00EC7B5A" w14:paraId="14B62D97" w14:textId="77777777" w:rsidTr="009C1E9A">
      <w:trPr>
        <w:cantSplit/>
      </w:trPr>
      <w:tc>
        <w:tcPr>
          <w:tcW w:w="0" w:type="pct"/>
        </w:tcPr>
        <w:p w14:paraId="777EFB23" w14:textId="77777777" w:rsidR="00EC379B" w:rsidRDefault="00EC379B" w:rsidP="009C1E9A">
          <w:pPr>
            <w:pStyle w:val="Footer"/>
            <w:tabs>
              <w:tab w:val="clear" w:pos="4320"/>
              <w:tab w:val="clear" w:pos="8640"/>
              <w:tab w:val="left" w:pos="2865"/>
            </w:tabs>
          </w:pPr>
        </w:p>
      </w:tc>
      <w:tc>
        <w:tcPr>
          <w:tcW w:w="2395" w:type="pct"/>
        </w:tcPr>
        <w:p w14:paraId="5D7565F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BD5EFD3" w14:textId="77777777" w:rsidR="00EC379B" w:rsidRDefault="00EC379B" w:rsidP="006D504F">
          <w:pPr>
            <w:pStyle w:val="Footer"/>
            <w:rPr>
              <w:rStyle w:val="PageNumber"/>
            </w:rPr>
          </w:pPr>
        </w:p>
        <w:p w14:paraId="595E60D8" w14:textId="77777777" w:rsidR="00EC379B" w:rsidRDefault="00EC379B" w:rsidP="009C1E9A">
          <w:pPr>
            <w:pStyle w:val="Footer"/>
            <w:tabs>
              <w:tab w:val="clear" w:pos="8640"/>
              <w:tab w:val="right" w:pos="9360"/>
            </w:tabs>
            <w:jc w:val="right"/>
          </w:pPr>
        </w:p>
      </w:tc>
    </w:tr>
    <w:tr w:rsidR="00EC7B5A" w14:paraId="667F66BA" w14:textId="77777777" w:rsidTr="009C1E9A">
      <w:trPr>
        <w:cantSplit/>
        <w:trHeight w:val="323"/>
      </w:trPr>
      <w:tc>
        <w:tcPr>
          <w:tcW w:w="0" w:type="pct"/>
          <w:gridSpan w:val="3"/>
        </w:tcPr>
        <w:p w14:paraId="2BFFBBA5" w14:textId="77777777" w:rsidR="00EC379B" w:rsidRDefault="00D42EC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CCE6EDA" w14:textId="77777777" w:rsidR="00EC379B" w:rsidRDefault="00EC379B" w:rsidP="009C1E9A">
          <w:pPr>
            <w:pStyle w:val="Footer"/>
            <w:tabs>
              <w:tab w:val="clear" w:pos="8640"/>
              <w:tab w:val="right" w:pos="9360"/>
            </w:tabs>
            <w:jc w:val="center"/>
          </w:pPr>
        </w:p>
      </w:tc>
    </w:tr>
  </w:tbl>
  <w:p w14:paraId="4094DC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A4B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AFAA" w14:textId="77777777" w:rsidR="00D42ECE" w:rsidRDefault="00D42ECE">
      <w:r>
        <w:separator/>
      </w:r>
    </w:p>
  </w:footnote>
  <w:footnote w:type="continuationSeparator" w:id="0">
    <w:p w14:paraId="31E42351" w14:textId="77777777" w:rsidR="00D42ECE" w:rsidRDefault="00D4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33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6F8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C3D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6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1C5"/>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2F4"/>
    <w:rsid w:val="00296FF0"/>
    <w:rsid w:val="002A17C0"/>
    <w:rsid w:val="002A1A5A"/>
    <w:rsid w:val="002A48DF"/>
    <w:rsid w:val="002A51E0"/>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832"/>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B6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053"/>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83"/>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14AC"/>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7C7"/>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9B4"/>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E60"/>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AD6"/>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F7D"/>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FA8"/>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ECE"/>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4E1"/>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B5A"/>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109CB8-A97A-4D73-AA13-8681A062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16E60"/>
    <w:rPr>
      <w:sz w:val="16"/>
      <w:szCs w:val="16"/>
    </w:rPr>
  </w:style>
  <w:style w:type="paragraph" w:styleId="CommentText">
    <w:name w:val="annotation text"/>
    <w:basedOn w:val="Normal"/>
    <w:link w:val="CommentTextChar"/>
    <w:unhideWhenUsed/>
    <w:rsid w:val="00916E60"/>
    <w:rPr>
      <w:sz w:val="20"/>
      <w:szCs w:val="20"/>
    </w:rPr>
  </w:style>
  <w:style w:type="character" w:customStyle="1" w:styleId="CommentTextChar">
    <w:name w:val="Comment Text Char"/>
    <w:basedOn w:val="DefaultParagraphFont"/>
    <w:link w:val="CommentText"/>
    <w:rsid w:val="00916E60"/>
  </w:style>
  <w:style w:type="paragraph" w:styleId="Revision">
    <w:name w:val="Revision"/>
    <w:hidden/>
    <w:uiPriority w:val="99"/>
    <w:semiHidden/>
    <w:rsid w:val="002A5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2034</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BA - SB01596 (Committee Report (Unamended))</vt:lpstr>
    </vt:vector>
  </TitlesOfParts>
  <Company>State of Texas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28751</dc:subject>
  <dc:creator>State of Texas</dc:creator>
  <dc:description>SB 1596 by Hagenbuch-(H)Homeland Security, Public Safety &amp; Veterans' Affairs</dc:description>
  <cp:lastModifiedBy>Thomas Weis</cp:lastModifiedBy>
  <cp:revision>2</cp:revision>
  <cp:lastPrinted>2003-11-26T17:21:00Z</cp:lastPrinted>
  <dcterms:created xsi:type="dcterms:W3CDTF">2025-05-07T19:34:00Z</dcterms:created>
  <dcterms:modified xsi:type="dcterms:W3CDTF">2025-05-07T19:34:00Z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25.125.2083</vt:lpwstr>
  </property>
</Properties>
</file>