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F3BDD" w14:paraId="5BDDE32C" w14:textId="77777777" w:rsidTr="00345119">
        <w:tc>
          <w:tcPr>
            <w:tcW w:w="9576" w:type="dxa"/>
            <w:noWrap/>
          </w:tcPr>
          <w:p w14:paraId="0FD0E495" w14:textId="77777777" w:rsidR="008423E4" w:rsidRPr="0022177D" w:rsidRDefault="002C1E27" w:rsidP="009D377A">
            <w:pPr>
              <w:pStyle w:val="Heading1"/>
            </w:pPr>
            <w:r w:rsidRPr="00631897">
              <w:t>BILL ANALYSIS</w:t>
            </w:r>
          </w:p>
        </w:tc>
      </w:tr>
    </w:tbl>
    <w:p w14:paraId="6A60EDEB" w14:textId="77777777" w:rsidR="008423E4" w:rsidRPr="0022177D" w:rsidRDefault="008423E4" w:rsidP="009D377A">
      <w:pPr>
        <w:jc w:val="center"/>
      </w:pPr>
    </w:p>
    <w:p w14:paraId="23942F88" w14:textId="77777777" w:rsidR="008423E4" w:rsidRPr="00B31F0E" w:rsidRDefault="008423E4" w:rsidP="009D377A"/>
    <w:p w14:paraId="06F0421C" w14:textId="77777777" w:rsidR="008423E4" w:rsidRPr="00742794" w:rsidRDefault="008423E4" w:rsidP="009D377A">
      <w:pPr>
        <w:tabs>
          <w:tab w:val="right" w:pos="9360"/>
        </w:tabs>
      </w:pPr>
    </w:p>
    <w:tbl>
      <w:tblPr>
        <w:tblW w:w="0" w:type="auto"/>
        <w:tblLayout w:type="fixed"/>
        <w:tblLook w:val="01E0" w:firstRow="1" w:lastRow="1" w:firstColumn="1" w:lastColumn="1" w:noHBand="0" w:noVBand="0"/>
      </w:tblPr>
      <w:tblGrid>
        <w:gridCol w:w="9576"/>
      </w:tblGrid>
      <w:tr w:rsidR="00CF3BDD" w14:paraId="05B87D0E" w14:textId="77777777" w:rsidTr="00345119">
        <w:tc>
          <w:tcPr>
            <w:tcW w:w="9576" w:type="dxa"/>
          </w:tcPr>
          <w:p w14:paraId="4A24ED82" w14:textId="2D7DD5B6" w:rsidR="008423E4" w:rsidRPr="00861995" w:rsidRDefault="002C1E27" w:rsidP="009D377A">
            <w:pPr>
              <w:jc w:val="right"/>
            </w:pPr>
            <w:r>
              <w:t>S.B. 1660</w:t>
            </w:r>
          </w:p>
        </w:tc>
      </w:tr>
      <w:tr w:rsidR="00CF3BDD" w14:paraId="17973F5B" w14:textId="77777777" w:rsidTr="00345119">
        <w:tc>
          <w:tcPr>
            <w:tcW w:w="9576" w:type="dxa"/>
          </w:tcPr>
          <w:p w14:paraId="11A239FC" w14:textId="6BDE0022" w:rsidR="008423E4" w:rsidRPr="00861995" w:rsidRDefault="002C1E27" w:rsidP="009D377A">
            <w:pPr>
              <w:jc w:val="right"/>
            </w:pPr>
            <w:r>
              <w:t xml:space="preserve">By: </w:t>
            </w:r>
            <w:r w:rsidR="001F6FE7">
              <w:t>Huffman</w:t>
            </w:r>
          </w:p>
        </w:tc>
      </w:tr>
      <w:tr w:rsidR="00CF3BDD" w14:paraId="10774361" w14:textId="77777777" w:rsidTr="00345119">
        <w:tc>
          <w:tcPr>
            <w:tcW w:w="9576" w:type="dxa"/>
          </w:tcPr>
          <w:p w14:paraId="2066527D" w14:textId="532F9174" w:rsidR="008423E4" w:rsidRPr="00861995" w:rsidRDefault="002C1E27" w:rsidP="009D377A">
            <w:pPr>
              <w:jc w:val="right"/>
            </w:pPr>
            <w:r>
              <w:t>Criminal Jurisprudence</w:t>
            </w:r>
          </w:p>
        </w:tc>
      </w:tr>
      <w:tr w:rsidR="00CF3BDD" w14:paraId="774EB6CB" w14:textId="77777777" w:rsidTr="00345119">
        <w:tc>
          <w:tcPr>
            <w:tcW w:w="9576" w:type="dxa"/>
          </w:tcPr>
          <w:p w14:paraId="4A609C08" w14:textId="7C94E2D2" w:rsidR="008423E4" w:rsidRDefault="002C1E27" w:rsidP="009D377A">
            <w:pPr>
              <w:jc w:val="right"/>
            </w:pPr>
            <w:r>
              <w:t>Committee Report (Unamended)</w:t>
            </w:r>
          </w:p>
        </w:tc>
      </w:tr>
    </w:tbl>
    <w:p w14:paraId="21C78C6C" w14:textId="77777777" w:rsidR="008423E4" w:rsidRDefault="008423E4" w:rsidP="009D377A">
      <w:pPr>
        <w:tabs>
          <w:tab w:val="right" w:pos="9360"/>
        </w:tabs>
      </w:pPr>
    </w:p>
    <w:p w14:paraId="7F62DCAE" w14:textId="77777777" w:rsidR="008423E4" w:rsidRDefault="008423E4" w:rsidP="009D377A"/>
    <w:p w14:paraId="0EB8EA10" w14:textId="77777777" w:rsidR="008423E4" w:rsidRDefault="008423E4" w:rsidP="009D377A"/>
    <w:tbl>
      <w:tblPr>
        <w:tblW w:w="0" w:type="auto"/>
        <w:tblCellMar>
          <w:left w:w="115" w:type="dxa"/>
          <w:right w:w="115" w:type="dxa"/>
        </w:tblCellMar>
        <w:tblLook w:val="01E0" w:firstRow="1" w:lastRow="1" w:firstColumn="1" w:lastColumn="1" w:noHBand="0" w:noVBand="0"/>
      </w:tblPr>
      <w:tblGrid>
        <w:gridCol w:w="9360"/>
      </w:tblGrid>
      <w:tr w:rsidR="00CF3BDD" w14:paraId="51A7748A" w14:textId="77777777" w:rsidTr="00345119">
        <w:tc>
          <w:tcPr>
            <w:tcW w:w="9576" w:type="dxa"/>
          </w:tcPr>
          <w:p w14:paraId="66F81C2F" w14:textId="77777777" w:rsidR="008423E4" w:rsidRPr="00A8133F" w:rsidRDefault="002C1E27" w:rsidP="009D377A">
            <w:pPr>
              <w:rPr>
                <w:b/>
              </w:rPr>
            </w:pPr>
            <w:r w:rsidRPr="009C1E9A">
              <w:rPr>
                <w:b/>
                <w:u w:val="single"/>
              </w:rPr>
              <w:t>BACKGROUND AND PURPOSE</w:t>
            </w:r>
            <w:r>
              <w:rPr>
                <w:b/>
              </w:rPr>
              <w:t xml:space="preserve"> </w:t>
            </w:r>
          </w:p>
          <w:p w14:paraId="575E3600" w14:textId="77777777" w:rsidR="008423E4" w:rsidRDefault="008423E4" w:rsidP="009D377A"/>
          <w:p w14:paraId="544A92AA" w14:textId="1AFA0573" w:rsidR="008423E4" w:rsidRDefault="002C1E27" w:rsidP="009D377A">
            <w:pPr>
              <w:pStyle w:val="Header"/>
              <w:jc w:val="both"/>
            </w:pPr>
            <w:r>
              <w:t>The bill sponsor has informed the committee that</w:t>
            </w:r>
            <w:r w:rsidR="00EB7DFF" w:rsidRPr="00EB7DFF">
              <w:t xml:space="preserve"> there is ambiguity</w:t>
            </w:r>
            <w:r>
              <w:t xml:space="preserve"> in</w:t>
            </w:r>
            <w:r w:rsidRPr="00EB7DFF">
              <w:t xml:space="preserve"> current law</w:t>
            </w:r>
            <w:r w:rsidR="00EB7DFF" w:rsidRPr="00EB7DFF">
              <w:t xml:space="preserve"> regarding when toxicological evidence can be destroyed, especially in cases where the retention period has expired</w:t>
            </w:r>
            <w:r w:rsidR="00295AC3">
              <w:t>,</w:t>
            </w:r>
            <w:r>
              <w:t xml:space="preserve"> and </w:t>
            </w:r>
            <w:r w:rsidR="00295AC3">
              <w:t xml:space="preserve">that </w:t>
            </w:r>
            <w:r>
              <w:t>u</w:t>
            </w:r>
            <w:r w:rsidR="00EB7DFF" w:rsidRPr="00EB7DFF">
              <w:t>pdating the statute related to toxicological evidence to reflect modern needs and capabilities will reduce storage costs and administrative overhead, freeing up resources to better preserve critical evidence.</w:t>
            </w:r>
            <w:r w:rsidR="00EB7DFF">
              <w:t xml:space="preserve"> </w:t>
            </w:r>
            <w:r w:rsidR="00EB7DFF" w:rsidRPr="00EB7DFF">
              <w:t>S</w:t>
            </w:r>
            <w:r>
              <w:t>.</w:t>
            </w:r>
            <w:r w:rsidR="00EB7DFF" w:rsidRPr="00EB7DFF">
              <w:t>B</w:t>
            </w:r>
            <w:r>
              <w:t>.</w:t>
            </w:r>
            <w:r w:rsidR="00EB7DFF" w:rsidRPr="00EB7DFF">
              <w:t xml:space="preserve"> 1660 requires crime laboratories</w:t>
            </w:r>
            <w:r w:rsidR="00295AC3">
              <w:t xml:space="preserve"> that retain and preserve toxicological evidence of certain intoxication offenses</w:t>
            </w:r>
            <w:r w:rsidR="00EB7DFF" w:rsidRPr="00EB7DFF">
              <w:t xml:space="preserve"> </w:t>
            </w:r>
            <w:r>
              <w:t xml:space="preserve">to </w:t>
            </w:r>
            <w:r w:rsidR="00EB7DFF" w:rsidRPr="00EB7DFF">
              <w:t>annually notify the relevant prosecutor</w:t>
            </w:r>
            <w:r w:rsidR="00FA2C3D">
              <w:t>'</w:t>
            </w:r>
            <w:r w:rsidR="00EB7DFF" w:rsidRPr="00EB7DFF">
              <w:t>s office about their possession of toxicological evidence related to alleged offenses within that county. Th</w:t>
            </w:r>
            <w:r w:rsidR="00295AC3">
              <w:t>is update, along with others in the bill, s</w:t>
            </w:r>
            <w:r w:rsidR="00EB7DFF" w:rsidRPr="00EB7DFF">
              <w:t>et</w:t>
            </w:r>
            <w:r w:rsidR="00295AC3">
              <w:t>s</w:t>
            </w:r>
            <w:r w:rsidR="00EB7DFF" w:rsidRPr="00EB7DFF">
              <w:t xml:space="preserve"> clear guidelines for managing toxicological evidence and ensure</w:t>
            </w:r>
            <w:r w:rsidR="00295AC3">
              <w:t>s</w:t>
            </w:r>
            <w:r w:rsidR="00EB7DFF" w:rsidRPr="00EB7DFF">
              <w:t xml:space="preserve"> proper communication with prosecutors while balancing evidence retention and timely disposal.</w:t>
            </w:r>
          </w:p>
          <w:p w14:paraId="4BE9567A" w14:textId="77777777" w:rsidR="008423E4" w:rsidRPr="00E26B13" w:rsidRDefault="008423E4" w:rsidP="009D377A">
            <w:pPr>
              <w:rPr>
                <w:b/>
              </w:rPr>
            </w:pPr>
          </w:p>
        </w:tc>
      </w:tr>
      <w:tr w:rsidR="00CF3BDD" w14:paraId="11732D84" w14:textId="77777777" w:rsidTr="00345119">
        <w:tc>
          <w:tcPr>
            <w:tcW w:w="9576" w:type="dxa"/>
          </w:tcPr>
          <w:p w14:paraId="202EB364" w14:textId="77777777" w:rsidR="0017725B" w:rsidRDefault="002C1E27" w:rsidP="009D377A">
            <w:pPr>
              <w:rPr>
                <w:b/>
                <w:u w:val="single"/>
              </w:rPr>
            </w:pPr>
            <w:r>
              <w:rPr>
                <w:b/>
                <w:u w:val="single"/>
              </w:rPr>
              <w:t>CRIMINAL JUSTICE IMPACT</w:t>
            </w:r>
          </w:p>
          <w:p w14:paraId="3AA4D454" w14:textId="77777777" w:rsidR="0017725B" w:rsidRDefault="0017725B" w:rsidP="009D377A">
            <w:pPr>
              <w:rPr>
                <w:b/>
                <w:u w:val="single"/>
              </w:rPr>
            </w:pPr>
          </w:p>
          <w:p w14:paraId="231FF25B" w14:textId="1BA146FB" w:rsidR="00131C7D" w:rsidRPr="00131C7D" w:rsidRDefault="002C1E27" w:rsidP="009D377A">
            <w:pPr>
              <w:jc w:val="both"/>
            </w:pPr>
            <w:r>
              <w:t xml:space="preserve">It is the committee's opinion that this bill does not expressly create a criminal offense, increase the punishment for an existing criminal offense or category of offenses, or </w:t>
            </w:r>
            <w:r>
              <w:t>change the eligibility of a person for community supervision, parole, or mandatory supervision.</w:t>
            </w:r>
          </w:p>
          <w:p w14:paraId="1E2F238A" w14:textId="77777777" w:rsidR="0017725B" w:rsidRPr="0017725B" w:rsidRDefault="0017725B" w:rsidP="009D377A">
            <w:pPr>
              <w:rPr>
                <w:b/>
                <w:u w:val="single"/>
              </w:rPr>
            </w:pPr>
          </w:p>
        </w:tc>
      </w:tr>
      <w:tr w:rsidR="00CF3BDD" w14:paraId="48773853" w14:textId="77777777" w:rsidTr="00345119">
        <w:tc>
          <w:tcPr>
            <w:tcW w:w="9576" w:type="dxa"/>
          </w:tcPr>
          <w:p w14:paraId="0AA5E644" w14:textId="77777777" w:rsidR="008423E4" w:rsidRPr="00A8133F" w:rsidRDefault="002C1E27" w:rsidP="009D377A">
            <w:pPr>
              <w:rPr>
                <w:b/>
              </w:rPr>
            </w:pPr>
            <w:r w:rsidRPr="009C1E9A">
              <w:rPr>
                <w:b/>
                <w:u w:val="single"/>
              </w:rPr>
              <w:t>RULEMAKING AUTHORITY</w:t>
            </w:r>
            <w:r>
              <w:rPr>
                <w:b/>
              </w:rPr>
              <w:t xml:space="preserve"> </w:t>
            </w:r>
          </w:p>
          <w:p w14:paraId="197F72DB" w14:textId="77777777" w:rsidR="008423E4" w:rsidRDefault="008423E4" w:rsidP="009D377A"/>
          <w:p w14:paraId="389F2BB7" w14:textId="4D5CDDFA" w:rsidR="00131C7D" w:rsidRDefault="002C1E27" w:rsidP="009D377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8FCE201" w14:textId="77777777" w:rsidR="008423E4" w:rsidRPr="00E21FDC" w:rsidRDefault="008423E4" w:rsidP="009D377A">
            <w:pPr>
              <w:rPr>
                <w:b/>
              </w:rPr>
            </w:pPr>
          </w:p>
        </w:tc>
      </w:tr>
      <w:tr w:rsidR="00CF3BDD" w14:paraId="1ECA7789" w14:textId="77777777" w:rsidTr="00345119">
        <w:tc>
          <w:tcPr>
            <w:tcW w:w="9576" w:type="dxa"/>
          </w:tcPr>
          <w:p w14:paraId="20B89A93" w14:textId="77777777" w:rsidR="008423E4" w:rsidRPr="00A8133F" w:rsidRDefault="002C1E27" w:rsidP="009D377A">
            <w:pPr>
              <w:rPr>
                <w:b/>
              </w:rPr>
            </w:pPr>
            <w:r w:rsidRPr="009C1E9A">
              <w:rPr>
                <w:b/>
                <w:u w:val="single"/>
              </w:rPr>
              <w:t>ANALYSIS</w:t>
            </w:r>
            <w:r>
              <w:rPr>
                <w:b/>
              </w:rPr>
              <w:t xml:space="preserve"> </w:t>
            </w:r>
          </w:p>
          <w:p w14:paraId="650ECBBF" w14:textId="77777777" w:rsidR="008423E4" w:rsidRDefault="008423E4" w:rsidP="009D377A"/>
          <w:p w14:paraId="572F0C75" w14:textId="4850C559" w:rsidR="00B07778" w:rsidRDefault="002C1E27" w:rsidP="009D377A">
            <w:pPr>
              <w:pStyle w:val="Header"/>
              <w:jc w:val="both"/>
            </w:pPr>
            <w:r>
              <w:t xml:space="preserve">S.B. 1660 amends the Code of Criminal Procedure to require a crime laboratory </w:t>
            </w:r>
            <w:r w:rsidRPr="00B07778">
              <w:t>that is charged with the collection, storage, preservation, analysis, or retrieval of toxicological evidence</w:t>
            </w:r>
            <w:r>
              <w:t xml:space="preserve"> </w:t>
            </w:r>
            <w:r w:rsidR="002653C6">
              <w:t>of certain intoxication</w:t>
            </w:r>
            <w:r w:rsidR="005F68CF">
              <w:t xml:space="preserve"> and alcoholic beverage</w:t>
            </w:r>
            <w:r w:rsidR="002653C6">
              <w:t xml:space="preserve"> offenses </w:t>
            </w:r>
            <w:r>
              <w:t>that is in possession of toxicological evidence to annually do the following:</w:t>
            </w:r>
          </w:p>
          <w:p w14:paraId="1C64DD2B" w14:textId="60C90291" w:rsidR="00B07778" w:rsidRDefault="002C1E27" w:rsidP="009D377A">
            <w:pPr>
              <w:pStyle w:val="Header"/>
              <w:numPr>
                <w:ilvl w:val="0"/>
                <w:numId w:val="1"/>
              </w:numPr>
              <w:jc w:val="both"/>
            </w:pPr>
            <w:r>
              <w:t>notify the prosecutor's office in the county in which the alleged offense occurred that the laboratory is in possession of toxicological evidence for an alleged offense that occurred in that county; and</w:t>
            </w:r>
          </w:p>
          <w:p w14:paraId="03AB5022" w14:textId="7C517A3D" w:rsidR="009C36CD" w:rsidRDefault="002C1E27" w:rsidP="009D377A">
            <w:pPr>
              <w:pStyle w:val="Header"/>
              <w:numPr>
                <w:ilvl w:val="0"/>
                <w:numId w:val="1"/>
              </w:numPr>
              <w:tabs>
                <w:tab w:val="clear" w:pos="4320"/>
                <w:tab w:val="clear" w:pos="8640"/>
              </w:tabs>
              <w:jc w:val="both"/>
            </w:pPr>
            <w:r>
              <w:t>provide to the prosecutor's office the date on which the laboratory received the evidence.</w:t>
            </w:r>
          </w:p>
          <w:p w14:paraId="064BEB28" w14:textId="77777777" w:rsidR="00B07778" w:rsidRDefault="00B07778" w:rsidP="009D377A">
            <w:pPr>
              <w:pStyle w:val="Header"/>
              <w:tabs>
                <w:tab w:val="clear" w:pos="4320"/>
                <w:tab w:val="clear" w:pos="8640"/>
              </w:tabs>
              <w:jc w:val="both"/>
            </w:pPr>
          </w:p>
          <w:p w14:paraId="0B136341" w14:textId="679176B6" w:rsidR="00B07778" w:rsidRDefault="002C1E27" w:rsidP="009D377A">
            <w:pPr>
              <w:pStyle w:val="Header"/>
              <w:tabs>
                <w:tab w:val="clear" w:pos="4320"/>
                <w:tab w:val="clear" w:pos="8640"/>
              </w:tabs>
              <w:jc w:val="both"/>
            </w:pPr>
            <w:r w:rsidRPr="00B07778">
              <w:t xml:space="preserve">S.B. 1660 </w:t>
            </w:r>
            <w:r>
              <w:t>authorizes</w:t>
            </w:r>
            <w:r w:rsidR="002653C6">
              <w:t xml:space="preserve"> </w:t>
            </w:r>
            <w:r w:rsidR="002653C6" w:rsidRPr="002653C6">
              <w:t>the entity or individual charged with storing the toxicological evidence</w:t>
            </w:r>
            <w:r>
              <w:t>, i</w:t>
            </w:r>
            <w:r w:rsidRPr="00B07778">
              <w:t xml:space="preserve">f a prosecutor's office does not provide a written denial of a request to destroy toxicological evidence before the 90th day after the date the request is made by hand delivery, certified mail, or email to an address designated by the prosecutor's office, </w:t>
            </w:r>
            <w:r>
              <w:t>to</w:t>
            </w:r>
            <w:r w:rsidRPr="00B07778">
              <w:t xml:space="preserve"> destroy the evidence if the</w:t>
            </w:r>
            <w:r>
              <w:t xml:space="preserve"> following</w:t>
            </w:r>
            <w:r w:rsidRPr="00B07778">
              <w:t xml:space="preserve"> retention period</w:t>
            </w:r>
            <w:r>
              <w:t>s</w:t>
            </w:r>
            <w:r w:rsidRPr="00B07778">
              <w:t xml:space="preserve"> for that evidence ha</w:t>
            </w:r>
            <w:r w:rsidR="00DA2CBF">
              <w:t>ve</w:t>
            </w:r>
            <w:r w:rsidRPr="00B07778">
              <w:t xml:space="preserve"> expired</w:t>
            </w:r>
            <w:r>
              <w:t>:</w:t>
            </w:r>
          </w:p>
          <w:p w14:paraId="3271C97F" w14:textId="5E95C37F" w:rsidR="00B07778" w:rsidRDefault="002C1E27" w:rsidP="009D377A">
            <w:pPr>
              <w:pStyle w:val="Header"/>
              <w:numPr>
                <w:ilvl w:val="0"/>
                <w:numId w:val="3"/>
              </w:numPr>
              <w:tabs>
                <w:tab w:val="clear" w:pos="4320"/>
                <w:tab w:val="clear" w:pos="8640"/>
              </w:tabs>
              <w:jc w:val="both"/>
            </w:pPr>
            <w:r w:rsidRPr="00B07778">
              <w:t>the duration of a defendant's sentence or term of community supervision, as applicable</w:t>
            </w:r>
            <w:r>
              <w:t xml:space="preserve">, </w:t>
            </w:r>
            <w:r w:rsidRPr="00B07778">
              <w:t>if the defendant is convicted or placed on community supervision, or for the duration of the commitment or supervision period applicable to the disposition of a juvenile adjudicated as having engaged in delinquent conduct or conduct indicating a need for supervision</w:t>
            </w:r>
            <w:r>
              <w:t>; or</w:t>
            </w:r>
          </w:p>
          <w:p w14:paraId="66A0A292" w14:textId="69870A1E" w:rsidR="00B07778" w:rsidRDefault="002C1E27" w:rsidP="009D377A">
            <w:pPr>
              <w:pStyle w:val="Header"/>
              <w:numPr>
                <w:ilvl w:val="0"/>
                <w:numId w:val="3"/>
              </w:numPr>
              <w:tabs>
                <w:tab w:val="clear" w:pos="4320"/>
                <w:tab w:val="clear" w:pos="8640"/>
              </w:tabs>
              <w:jc w:val="both"/>
            </w:pPr>
            <w:r w:rsidRPr="00B07778">
              <w:t>until the defendant is acquitted or the indictment or information is dismissed with prejudice, or, in a juvenile proceeding, until a hearing is held and the court does not find the child engaged in delinquent conduct or conduct indicating a need for supervision</w:t>
            </w:r>
            <w:r>
              <w:t>.</w:t>
            </w:r>
          </w:p>
          <w:p w14:paraId="64DC737E" w14:textId="77777777" w:rsidR="00131C7D" w:rsidRDefault="00131C7D" w:rsidP="009D377A">
            <w:pPr>
              <w:pStyle w:val="Header"/>
              <w:tabs>
                <w:tab w:val="clear" w:pos="4320"/>
                <w:tab w:val="clear" w:pos="8640"/>
              </w:tabs>
              <w:jc w:val="both"/>
            </w:pPr>
          </w:p>
          <w:p w14:paraId="7555130A" w14:textId="77777777" w:rsidR="008423E4" w:rsidRDefault="002C1E27" w:rsidP="009D377A">
            <w:pPr>
              <w:pStyle w:val="Header"/>
              <w:tabs>
                <w:tab w:val="clear" w:pos="4320"/>
                <w:tab w:val="clear" w:pos="8640"/>
              </w:tabs>
              <w:jc w:val="both"/>
            </w:pPr>
            <w:r w:rsidRPr="00131C7D">
              <w:t>S.B. 1660</w:t>
            </w:r>
            <w:r>
              <w:t xml:space="preserve"> applies </w:t>
            </w:r>
            <w:r w:rsidRPr="00131C7D">
              <w:t xml:space="preserve">only to evidence for which the appropriate retention and preservation period under </w:t>
            </w:r>
            <w:r>
              <w:t>the bill's provisions</w:t>
            </w:r>
            <w:r w:rsidRPr="00131C7D">
              <w:t xml:space="preserve"> expires on or after the </w:t>
            </w:r>
            <w:r>
              <w:t xml:space="preserve">bill's </w:t>
            </w:r>
            <w:r w:rsidRPr="00131C7D">
              <w:t xml:space="preserve">effective date. Evidence for which the appropriate retention and preservation period expired before the </w:t>
            </w:r>
            <w:r>
              <w:t xml:space="preserve">bill's </w:t>
            </w:r>
            <w:r w:rsidRPr="00131C7D">
              <w:t>effective date is governed by the law in effect on the date of expiration of that period, and the former law is continued in effect for that purpose.</w:t>
            </w:r>
          </w:p>
          <w:p w14:paraId="5E2DD17C" w14:textId="7181A07F" w:rsidR="009D377A" w:rsidRPr="00131C7D" w:rsidRDefault="009D377A" w:rsidP="009D377A">
            <w:pPr>
              <w:pStyle w:val="Header"/>
              <w:tabs>
                <w:tab w:val="clear" w:pos="4320"/>
                <w:tab w:val="clear" w:pos="8640"/>
              </w:tabs>
              <w:jc w:val="both"/>
            </w:pPr>
          </w:p>
        </w:tc>
      </w:tr>
      <w:tr w:rsidR="00CF3BDD" w14:paraId="6CDE2AA2" w14:textId="77777777" w:rsidTr="00345119">
        <w:tc>
          <w:tcPr>
            <w:tcW w:w="9576" w:type="dxa"/>
          </w:tcPr>
          <w:p w14:paraId="5858956A" w14:textId="77777777" w:rsidR="008423E4" w:rsidRPr="00A8133F" w:rsidRDefault="002C1E27" w:rsidP="009D377A">
            <w:pPr>
              <w:rPr>
                <w:b/>
              </w:rPr>
            </w:pPr>
            <w:r w:rsidRPr="009C1E9A">
              <w:rPr>
                <w:b/>
                <w:u w:val="single"/>
              </w:rPr>
              <w:t>EFFECTIVE DATE</w:t>
            </w:r>
            <w:r>
              <w:rPr>
                <w:b/>
              </w:rPr>
              <w:t xml:space="preserve"> </w:t>
            </w:r>
          </w:p>
          <w:p w14:paraId="5968EAC2" w14:textId="77777777" w:rsidR="008423E4" w:rsidRDefault="008423E4" w:rsidP="009D377A"/>
          <w:p w14:paraId="2902F9DB" w14:textId="14F713F6" w:rsidR="008423E4" w:rsidRPr="003624F2" w:rsidRDefault="002C1E27" w:rsidP="009D377A">
            <w:pPr>
              <w:pStyle w:val="Header"/>
              <w:tabs>
                <w:tab w:val="clear" w:pos="4320"/>
                <w:tab w:val="clear" w:pos="8640"/>
              </w:tabs>
              <w:jc w:val="both"/>
            </w:pPr>
            <w:r>
              <w:t>September 1, 2025.</w:t>
            </w:r>
          </w:p>
          <w:p w14:paraId="7238172E" w14:textId="77777777" w:rsidR="008423E4" w:rsidRPr="00233FDB" w:rsidRDefault="008423E4" w:rsidP="009D377A">
            <w:pPr>
              <w:rPr>
                <w:b/>
              </w:rPr>
            </w:pPr>
          </w:p>
        </w:tc>
      </w:tr>
    </w:tbl>
    <w:p w14:paraId="22166A7C" w14:textId="77777777" w:rsidR="008423E4" w:rsidRPr="00BE0E75" w:rsidRDefault="008423E4" w:rsidP="009D377A">
      <w:pPr>
        <w:jc w:val="both"/>
        <w:rPr>
          <w:rFonts w:ascii="Arial" w:hAnsi="Arial"/>
          <w:sz w:val="16"/>
          <w:szCs w:val="16"/>
        </w:rPr>
      </w:pPr>
    </w:p>
    <w:p w14:paraId="50FFE499" w14:textId="77777777" w:rsidR="004108C3" w:rsidRPr="008423E4" w:rsidRDefault="004108C3" w:rsidP="009D377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52E5" w14:textId="77777777" w:rsidR="002C1E27" w:rsidRDefault="002C1E27">
      <w:r>
        <w:separator/>
      </w:r>
    </w:p>
  </w:endnote>
  <w:endnote w:type="continuationSeparator" w:id="0">
    <w:p w14:paraId="31731D4F" w14:textId="77777777" w:rsidR="002C1E27" w:rsidRDefault="002C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8E47" w14:textId="77777777" w:rsidR="005717CD" w:rsidRDefault="00571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F3BDD" w14:paraId="060A3076" w14:textId="77777777" w:rsidTr="009C1E9A">
      <w:trPr>
        <w:cantSplit/>
      </w:trPr>
      <w:tc>
        <w:tcPr>
          <w:tcW w:w="0" w:type="pct"/>
        </w:tcPr>
        <w:p w14:paraId="3C695C48" w14:textId="77777777" w:rsidR="00137D90" w:rsidRDefault="00137D90" w:rsidP="009C1E9A">
          <w:pPr>
            <w:pStyle w:val="Footer"/>
            <w:tabs>
              <w:tab w:val="clear" w:pos="8640"/>
              <w:tab w:val="right" w:pos="9360"/>
            </w:tabs>
          </w:pPr>
        </w:p>
      </w:tc>
      <w:tc>
        <w:tcPr>
          <w:tcW w:w="2395" w:type="pct"/>
        </w:tcPr>
        <w:p w14:paraId="31061D1C" w14:textId="77777777" w:rsidR="00137D90" w:rsidRDefault="00137D90" w:rsidP="009C1E9A">
          <w:pPr>
            <w:pStyle w:val="Footer"/>
            <w:tabs>
              <w:tab w:val="clear" w:pos="8640"/>
              <w:tab w:val="right" w:pos="9360"/>
            </w:tabs>
          </w:pPr>
        </w:p>
        <w:p w14:paraId="529784AD" w14:textId="77777777" w:rsidR="001A4310" w:rsidRDefault="001A4310" w:rsidP="009C1E9A">
          <w:pPr>
            <w:pStyle w:val="Footer"/>
            <w:tabs>
              <w:tab w:val="clear" w:pos="8640"/>
              <w:tab w:val="right" w:pos="9360"/>
            </w:tabs>
          </w:pPr>
        </w:p>
        <w:p w14:paraId="19C9C1F5" w14:textId="77777777" w:rsidR="00137D90" w:rsidRDefault="00137D90" w:rsidP="009C1E9A">
          <w:pPr>
            <w:pStyle w:val="Footer"/>
            <w:tabs>
              <w:tab w:val="clear" w:pos="8640"/>
              <w:tab w:val="right" w:pos="9360"/>
            </w:tabs>
          </w:pPr>
        </w:p>
      </w:tc>
      <w:tc>
        <w:tcPr>
          <w:tcW w:w="2453" w:type="pct"/>
        </w:tcPr>
        <w:p w14:paraId="6C229710" w14:textId="77777777" w:rsidR="00137D90" w:rsidRDefault="00137D90" w:rsidP="009C1E9A">
          <w:pPr>
            <w:pStyle w:val="Footer"/>
            <w:tabs>
              <w:tab w:val="clear" w:pos="8640"/>
              <w:tab w:val="right" w:pos="9360"/>
            </w:tabs>
            <w:jc w:val="right"/>
          </w:pPr>
        </w:p>
      </w:tc>
    </w:tr>
    <w:tr w:rsidR="00CF3BDD" w14:paraId="7F1AB2D1" w14:textId="77777777" w:rsidTr="009C1E9A">
      <w:trPr>
        <w:cantSplit/>
      </w:trPr>
      <w:tc>
        <w:tcPr>
          <w:tcW w:w="0" w:type="pct"/>
        </w:tcPr>
        <w:p w14:paraId="4FF1C4DB" w14:textId="77777777" w:rsidR="00EC379B" w:rsidRDefault="00EC379B" w:rsidP="009C1E9A">
          <w:pPr>
            <w:pStyle w:val="Footer"/>
            <w:tabs>
              <w:tab w:val="clear" w:pos="8640"/>
              <w:tab w:val="right" w:pos="9360"/>
            </w:tabs>
          </w:pPr>
        </w:p>
      </w:tc>
      <w:tc>
        <w:tcPr>
          <w:tcW w:w="2395" w:type="pct"/>
        </w:tcPr>
        <w:p w14:paraId="0919E2EC" w14:textId="30BD43E2" w:rsidR="00EC379B" w:rsidRPr="009C1E9A" w:rsidRDefault="002C1E27" w:rsidP="009C1E9A">
          <w:pPr>
            <w:pStyle w:val="Footer"/>
            <w:tabs>
              <w:tab w:val="clear" w:pos="8640"/>
              <w:tab w:val="right" w:pos="9360"/>
            </w:tabs>
            <w:rPr>
              <w:rFonts w:ascii="Shruti" w:hAnsi="Shruti"/>
              <w:sz w:val="22"/>
            </w:rPr>
          </w:pPr>
          <w:r>
            <w:rPr>
              <w:rFonts w:ascii="Shruti" w:hAnsi="Shruti"/>
              <w:sz w:val="22"/>
            </w:rPr>
            <w:t>89R 32396-D</w:t>
          </w:r>
        </w:p>
      </w:tc>
      <w:tc>
        <w:tcPr>
          <w:tcW w:w="2453" w:type="pct"/>
        </w:tcPr>
        <w:p w14:paraId="412337A6" w14:textId="30054B66" w:rsidR="00EC379B" w:rsidRDefault="002C1E27" w:rsidP="009C1E9A">
          <w:pPr>
            <w:pStyle w:val="Footer"/>
            <w:tabs>
              <w:tab w:val="clear" w:pos="8640"/>
              <w:tab w:val="right" w:pos="9360"/>
            </w:tabs>
            <w:jc w:val="right"/>
          </w:pPr>
          <w:r>
            <w:fldChar w:fldCharType="begin"/>
          </w:r>
          <w:r>
            <w:instrText xml:space="preserve"> DOCPROPERTY  OTID  \* MERGEFORMAT </w:instrText>
          </w:r>
          <w:r>
            <w:fldChar w:fldCharType="separate"/>
          </w:r>
          <w:r w:rsidR="005717CD">
            <w:t>25.141.2004</w:t>
          </w:r>
          <w:r>
            <w:fldChar w:fldCharType="end"/>
          </w:r>
        </w:p>
      </w:tc>
    </w:tr>
    <w:tr w:rsidR="00CF3BDD" w14:paraId="692D0A5C" w14:textId="77777777" w:rsidTr="009C1E9A">
      <w:trPr>
        <w:cantSplit/>
      </w:trPr>
      <w:tc>
        <w:tcPr>
          <w:tcW w:w="0" w:type="pct"/>
        </w:tcPr>
        <w:p w14:paraId="3E4B021F" w14:textId="77777777" w:rsidR="00EC379B" w:rsidRDefault="00EC379B" w:rsidP="009C1E9A">
          <w:pPr>
            <w:pStyle w:val="Footer"/>
            <w:tabs>
              <w:tab w:val="clear" w:pos="4320"/>
              <w:tab w:val="clear" w:pos="8640"/>
              <w:tab w:val="left" w:pos="2865"/>
            </w:tabs>
          </w:pPr>
        </w:p>
      </w:tc>
      <w:tc>
        <w:tcPr>
          <w:tcW w:w="2395" w:type="pct"/>
        </w:tcPr>
        <w:p w14:paraId="5E9D456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27BD6E8" w14:textId="77777777" w:rsidR="00EC379B" w:rsidRDefault="00EC379B" w:rsidP="006D504F">
          <w:pPr>
            <w:pStyle w:val="Footer"/>
            <w:rPr>
              <w:rStyle w:val="PageNumber"/>
            </w:rPr>
          </w:pPr>
        </w:p>
        <w:p w14:paraId="73F06A5B" w14:textId="77777777" w:rsidR="00EC379B" w:rsidRDefault="00EC379B" w:rsidP="009C1E9A">
          <w:pPr>
            <w:pStyle w:val="Footer"/>
            <w:tabs>
              <w:tab w:val="clear" w:pos="8640"/>
              <w:tab w:val="right" w:pos="9360"/>
            </w:tabs>
            <w:jc w:val="right"/>
          </w:pPr>
        </w:p>
      </w:tc>
    </w:tr>
    <w:tr w:rsidR="00CF3BDD" w14:paraId="635FD543" w14:textId="77777777" w:rsidTr="009C1E9A">
      <w:trPr>
        <w:cantSplit/>
        <w:trHeight w:val="323"/>
      </w:trPr>
      <w:tc>
        <w:tcPr>
          <w:tcW w:w="0" w:type="pct"/>
          <w:gridSpan w:val="3"/>
        </w:tcPr>
        <w:p w14:paraId="7FF35B70" w14:textId="77777777" w:rsidR="00EC379B" w:rsidRDefault="002C1E2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607C6BB" w14:textId="77777777" w:rsidR="00EC379B" w:rsidRDefault="00EC379B" w:rsidP="009C1E9A">
          <w:pPr>
            <w:pStyle w:val="Footer"/>
            <w:tabs>
              <w:tab w:val="clear" w:pos="8640"/>
              <w:tab w:val="right" w:pos="9360"/>
            </w:tabs>
            <w:jc w:val="center"/>
          </w:pPr>
        </w:p>
      </w:tc>
    </w:tr>
  </w:tbl>
  <w:p w14:paraId="6E8569A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6C79" w14:textId="77777777" w:rsidR="005717CD" w:rsidRDefault="00571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B77C" w14:textId="77777777" w:rsidR="002C1E27" w:rsidRDefault="002C1E27">
      <w:r>
        <w:separator/>
      </w:r>
    </w:p>
  </w:footnote>
  <w:footnote w:type="continuationSeparator" w:id="0">
    <w:p w14:paraId="2C33F2C9" w14:textId="77777777" w:rsidR="002C1E27" w:rsidRDefault="002C1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636B" w14:textId="77777777" w:rsidR="005717CD" w:rsidRDefault="00571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6A25" w14:textId="77777777" w:rsidR="005717CD" w:rsidRDefault="00571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AA83" w14:textId="77777777" w:rsidR="005717CD" w:rsidRDefault="00571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15C48"/>
    <w:multiLevelType w:val="hybridMultilevel"/>
    <w:tmpl w:val="857C7C82"/>
    <w:lvl w:ilvl="0" w:tplc="82CE9C80">
      <w:start w:val="1"/>
      <w:numFmt w:val="decimal"/>
      <w:lvlText w:val="(%1)"/>
      <w:lvlJc w:val="left"/>
      <w:pPr>
        <w:ind w:left="795" w:hanging="435"/>
      </w:pPr>
      <w:rPr>
        <w:rFonts w:hint="default"/>
      </w:rPr>
    </w:lvl>
    <w:lvl w:ilvl="1" w:tplc="7564F98A" w:tentative="1">
      <w:start w:val="1"/>
      <w:numFmt w:val="lowerLetter"/>
      <w:lvlText w:val="%2."/>
      <w:lvlJc w:val="left"/>
      <w:pPr>
        <w:ind w:left="1440" w:hanging="360"/>
      </w:pPr>
    </w:lvl>
    <w:lvl w:ilvl="2" w:tplc="E6C6D75A" w:tentative="1">
      <w:start w:val="1"/>
      <w:numFmt w:val="lowerRoman"/>
      <w:lvlText w:val="%3."/>
      <w:lvlJc w:val="right"/>
      <w:pPr>
        <w:ind w:left="2160" w:hanging="180"/>
      </w:pPr>
    </w:lvl>
    <w:lvl w:ilvl="3" w:tplc="1EE246FE" w:tentative="1">
      <w:start w:val="1"/>
      <w:numFmt w:val="decimal"/>
      <w:lvlText w:val="%4."/>
      <w:lvlJc w:val="left"/>
      <w:pPr>
        <w:ind w:left="2880" w:hanging="360"/>
      </w:pPr>
    </w:lvl>
    <w:lvl w:ilvl="4" w:tplc="F03CAD68" w:tentative="1">
      <w:start w:val="1"/>
      <w:numFmt w:val="lowerLetter"/>
      <w:lvlText w:val="%5."/>
      <w:lvlJc w:val="left"/>
      <w:pPr>
        <w:ind w:left="3600" w:hanging="360"/>
      </w:pPr>
    </w:lvl>
    <w:lvl w:ilvl="5" w:tplc="1894384C" w:tentative="1">
      <w:start w:val="1"/>
      <w:numFmt w:val="lowerRoman"/>
      <w:lvlText w:val="%6."/>
      <w:lvlJc w:val="right"/>
      <w:pPr>
        <w:ind w:left="4320" w:hanging="180"/>
      </w:pPr>
    </w:lvl>
    <w:lvl w:ilvl="6" w:tplc="14E6089E" w:tentative="1">
      <w:start w:val="1"/>
      <w:numFmt w:val="decimal"/>
      <w:lvlText w:val="%7."/>
      <w:lvlJc w:val="left"/>
      <w:pPr>
        <w:ind w:left="5040" w:hanging="360"/>
      </w:pPr>
    </w:lvl>
    <w:lvl w:ilvl="7" w:tplc="023ADF0A" w:tentative="1">
      <w:start w:val="1"/>
      <w:numFmt w:val="lowerLetter"/>
      <w:lvlText w:val="%8."/>
      <w:lvlJc w:val="left"/>
      <w:pPr>
        <w:ind w:left="5760" w:hanging="360"/>
      </w:pPr>
    </w:lvl>
    <w:lvl w:ilvl="8" w:tplc="FBC45028" w:tentative="1">
      <w:start w:val="1"/>
      <w:numFmt w:val="lowerRoman"/>
      <w:lvlText w:val="%9."/>
      <w:lvlJc w:val="right"/>
      <w:pPr>
        <w:ind w:left="6480" w:hanging="180"/>
      </w:pPr>
    </w:lvl>
  </w:abstractNum>
  <w:abstractNum w:abstractNumId="1" w15:restartNumberingAfterBreak="0">
    <w:nsid w:val="5FF87213"/>
    <w:multiLevelType w:val="hybridMultilevel"/>
    <w:tmpl w:val="3CE219F2"/>
    <w:lvl w:ilvl="0" w:tplc="5CE09084">
      <w:start w:val="1"/>
      <w:numFmt w:val="bullet"/>
      <w:lvlText w:val=""/>
      <w:lvlJc w:val="left"/>
      <w:pPr>
        <w:tabs>
          <w:tab w:val="num" w:pos="720"/>
        </w:tabs>
        <w:ind w:left="720" w:hanging="360"/>
      </w:pPr>
      <w:rPr>
        <w:rFonts w:ascii="Symbol" w:hAnsi="Symbol" w:hint="default"/>
      </w:rPr>
    </w:lvl>
    <w:lvl w:ilvl="1" w:tplc="A57E86E2" w:tentative="1">
      <w:start w:val="1"/>
      <w:numFmt w:val="bullet"/>
      <w:lvlText w:val="o"/>
      <w:lvlJc w:val="left"/>
      <w:pPr>
        <w:ind w:left="1440" w:hanging="360"/>
      </w:pPr>
      <w:rPr>
        <w:rFonts w:ascii="Courier New" w:hAnsi="Courier New" w:cs="Courier New" w:hint="default"/>
      </w:rPr>
    </w:lvl>
    <w:lvl w:ilvl="2" w:tplc="309094B0" w:tentative="1">
      <w:start w:val="1"/>
      <w:numFmt w:val="bullet"/>
      <w:lvlText w:val=""/>
      <w:lvlJc w:val="left"/>
      <w:pPr>
        <w:ind w:left="2160" w:hanging="360"/>
      </w:pPr>
      <w:rPr>
        <w:rFonts w:ascii="Wingdings" w:hAnsi="Wingdings" w:hint="default"/>
      </w:rPr>
    </w:lvl>
    <w:lvl w:ilvl="3" w:tplc="A0C8C366" w:tentative="1">
      <w:start w:val="1"/>
      <w:numFmt w:val="bullet"/>
      <w:lvlText w:val=""/>
      <w:lvlJc w:val="left"/>
      <w:pPr>
        <w:ind w:left="2880" w:hanging="360"/>
      </w:pPr>
      <w:rPr>
        <w:rFonts w:ascii="Symbol" w:hAnsi="Symbol" w:hint="default"/>
      </w:rPr>
    </w:lvl>
    <w:lvl w:ilvl="4" w:tplc="D1006568" w:tentative="1">
      <w:start w:val="1"/>
      <w:numFmt w:val="bullet"/>
      <w:lvlText w:val="o"/>
      <w:lvlJc w:val="left"/>
      <w:pPr>
        <w:ind w:left="3600" w:hanging="360"/>
      </w:pPr>
      <w:rPr>
        <w:rFonts w:ascii="Courier New" w:hAnsi="Courier New" w:cs="Courier New" w:hint="default"/>
      </w:rPr>
    </w:lvl>
    <w:lvl w:ilvl="5" w:tplc="BBDA4722" w:tentative="1">
      <w:start w:val="1"/>
      <w:numFmt w:val="bullet"/>
      <w:lvlText w:val=""/>
      <w:lvlJc w:val="left"/>
      <w:pPr>
        <w:ind w:left="4320" w:hanging="360"/>
      </w:pPr>
      <w:rPr>
        <w:rFonts w:ascii="Wingdings" w:hAnsi="Wingdings" w:hint="default"/>
      </w:rPr>
    </w:lvl>
    <w:lvl w:ilvl="6" w:tplc="3978059A" w:tentative="1">
      <w:start w:val="1"/>
      <w:numFmt w:val="bullet"/>
      <w:lvlText w:val=""/>
      <w:lvlJc w:val="left"/>
      <w:pPr>
        <w:ind w:left="5040" w:hanging="360"/>
      </w:pPr>
      <w:rPr>
        <w:rFonts w:ascii="Symbol" w:hAnsi="Symbol" w:hint="default"/>
      </w:rPr>
    </w:lvl>
    <w:lvl w:ilvl="7" w:tplc="44609B46" w:tentative="1">
      <w:start w:val="1"/>
      <w:numFmt w:val="bullet"/>
      <w:lvlText w:val="o"/>
      <w:lvlJc w:val="left"/>
      <w:pPr>
        <w:ind w:left="5760" w:hanging="360"/>
      </w:pPr>
      <w:rPr>
        <w:rFonts w:ascii="Courier New" w:hAnsi="Courier New" w:cs="Courier New" w:hint="default"/>
      </w:rPr>
    </w:lvl>
    <w:lvl w:ilvl="8" w:tplc="42B0B348" w:tentative="1">
      <w:start w:val="1"/>
      <w:numFmt w:val="bullet"/>
      <w:lvlText w:val=""/>
      <w:lvlJc w:val="left"/>
      <w:pPr>
        <w:ind w:left="6480" w:hanging="360"/>
      </w:pPr>
      <w:rPr>
        <w:rFonts w:ascii="Wingdings" w:hAnsi="Wingdings" w:hint="default"/>
      </w:rPr>
    </w:lvl>
  </w:abstractNum>
  <w:abstractNum w:abstractNumId="2" w15:restartNumberingAfterBreak="0">
    <w:nsid w:val="669A7D8C"/>
    <w:multiLevelType w:val="hybridMultilevel"/>
    <w:tmpl w:val="855CAFBC"/>
    <w:lvl w:ilvl="0" w:tplc="081679EC">
      <w:start w:val="1"/>
      <w:numFmt w:val="bullet"/>
      <w:lvlText w:val=""/>
      <w:lvlJc w:val="left"/>
      <w:pPr>
        <w:tabs>
          <w:tab w:val="num" w:pos="720"/>
        </w:tabs>
        <w:ind w:left="720" w:hanging="360"/>
      </w:pPr>
      <w:rPr>
        <w:rFonts w:ascii="Symbol" w:hAnsi="Symbol" w:hint="default"/>
      </w:rPr>
    </w:lvl>
    <w:lvl w:ilvl="1" w:tplc="D2E64A86" w:tentative="1">
      <w:start w:val="1"/>
      <w:numFmt w:val="bullet"/>
      <w:lvlText w:val="o"/>
      <w:lvlJc w:val="left"/>
      <w:pPr>
        <w:ind w:left="1440" w:hanging="360"/>
      </w:pPr>
      <w:rPr>
        <w:rFonts w:ascii="Courier New" w:hAnsi="Courier New" w:cs="Courier New" w:hint="default"/>
      </w:rPr>
    </w:lvl>
    <w:lvl w:ilvl="2" w:tplc="74BE2868" w:tentative="1">
      <w:start w:val="1"/>
      <w:numFmt w:val="bullet"/>
      <w:lvlText w:val=""/>
      <w:lvlJc w:val="left"/>
      <w:pPr>
        <w:ind w:left="2160" w:hanging="360"/>
      </w:pPr>
      <w:rPr>
        <w:rFonts w:ascii="Wingdings" w:hAnsi="Wingdings" w:hint="default"/>
      </w:rPr>
    </w:lvl>
    <w:lvl w:ilvl="3" w:tplc="9AF42F96" w:tentative="1">
      <w:start w:val="1"/>
      <w:numFmt w:val="bullet"/>
      <w:lvlText w:val=""/>
      <w:lvlJc w:val="left"/>
      <w:pPr>
        <w:ind w:left="2880" w:hanging="360"/>
      </w:pPr>
      <w:rPr>
        <w:rFonts w:ascii="Symbol" w:hAnsi="Symbol" w:hint="default"/>
      </w:rPr>
    </w:lvl>
    <w:lvl w:ilvl="4" w:tplc="F822F39E" w:tentative="1">
      <w:start w:val="1"/>
      <w:numFmt w:val="bullet"/>
      <w:lvlText w:val="o"/>
      <w:lvlJc w:val="left"/>
      <w:pPr>
        <w:ind w:left="3600" w:hanging="360"/>
      </w:pPr>
      <w:rPr>
        <w:rFonts w:ascii="Courier New" w:hAnsi="Courier New" w:cs="Courier New" w:hint="default"/>
      </w:rPr>
    </w:lvl>
    <w:lvl w:ilvl="5" w:tplc="76BC8494" w:tentative="1">
      <w:start w:val="1"/>
      <w:numFmt w:val="bullet"/>
      <w:lvlText w:val=""/>
      <w:lvlJc w:val="left"/>
      <w:pPr>
        <w:ind w:left="4320" w:hanging="360"/>
      </w:pPr>
      <w:rPr>
        <w:rFonts w:ascii="Wingdings" w:hAnsi="Wingdings" w:hint="default"/>
      </w:rPr>
    </w:lvl>
    <w:lvl w:ilvl="6" w:tplc="BCE672C8" w:tentative="1">
      <w:start w:val="1"/>
      <w:numFmt w:val="bullet"/>
      <w:lvlText w:val=""/>
      <w:lvlJc w:val="left"/>
      <w:pPr>
        <w:ind w:left="5040" w:hanging="360"/>
      </w:pPr>
      <w:rPr>
        <w:rFonts w:ascii="Symbol" w:hAnsi="Symbol" w:hint="default"/>
      </w:rPr>
    </w:lvl>
    <w:lvl w:ilvl="7" w:tplc="E0FEEBE8" w:tentative="1">
      <w:start w:val="1"/>
      <w:numFmt w:val="bullet"/>
      <w:lvlText w:val="o"/>
      <w:lvlJc w:val="left"/>
      <w:pPr>
        <w:ind w:left="5760" w:hanging="360"/>
      </w:pPr>
      <w:rPr>
        <w:rFonts w:ascii="Courier New" w:hAnsi="Courier New" w:cs="Courier New" w:hint="default"/>
      </w:rPr>
    </w:lvl>
    <w:lvl w:ilvl="8" w:tplc="E8E8B776" w:tentative="1">
      <w:start w:val="1"/>
      <w:numFmt w:val="bullet"/>
      <w:lvlText w:val=""/>
      <w:lvlJc w:val="left"/>
      <w:pPr>
        <w:ind w:left="6480" w:hanging="360"/>
      </w:pPr>
      <w:rPr>
        <w:rFonts w:ascii="Wingdings" w:hAnsi="Wingdings" w:hint="default"/>
      </w:rPr>
    </w:lvl>
  </w:abstractNum>
  <w:num w:numId="1" w16cid:durableId="1297491113">
    <w:abstractNumId w:val="1"/>
  </w:num>
  <w:num w:numId="2" w16cid:durableId="1433165121">
    <w:abstractNumId w:val="0"/>
  </w:num>
  <w:num w:numId="3" w16cid:durableId="789591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7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1C7D"/>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3E9"/>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6FE7"/>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3C6"/>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5AC3"/>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1E2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5D23"/>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4B80"/>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1106"/>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5EB"/>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17CD"/>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8C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2AA3"/>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07EB"/>
    <w:rsid w:val="00671693"/>
    <w:rsid w:val="006757AA"/>
    <w:rsid w:val="006767D1"/>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0A88"/>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1FF6"/>
    <w:rsid w:val="0078552A"/>
    <w:rsid w:val="00785729"/>
    <w:rsid w:val="00786058"/>
    <w:rsid w:val="0079487D"/>
    <w:rsid w:val="007966D4"/>
    <w:rsid w:val="00796A0A"/>
    <w:rsid w:val="00796CC2"/>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28F8"/>
    <w:rsid w:val="00946044"/>
    <w:rsid w:val="0094653B"/>
    <w:rsid w:val="009465AB"/>
    <w:rsid w:val="00946DEE"/>
    <w:rsid w:val="00953499"/>
    <w:rsid w:val="00954A16"/>
    <w:rsid w:val="0095696D"/>
    <w:rsid w:val="00960F2D"/>
    <w:rsid w:val="009631EF"/>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7A"/>
    <w:rsid w:val="009D37C7"/>
    <w:rsid w:val="009D4BBD"/>
    <w:rsid w:val="009D5A41"/>
    <w:rsid w:val="009E13BF"/>
    <w:rsid w:val="009E3631"/>
    <w:rsid w:val="009E3EB9"/>
    <w:rsid w:val="009E69C2"/>
    <w:rsid w:val="009E70AF"/>
    <w:rsid w:val="009E760A"/>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EF7"/>
    <w:rsid w:val="00AE4F1C"/>
    <w:rsid w:val="00AF1433"/>
    <w:rsid w:val="00AF48B4"/>
    <w:rsid w:val="00AF4923"/>
    <w:rsid w:val="00AF7C74"/>
    <w:rsid w:val="00B000AF"/>
    <w:rsid w:val="00B04E79"/>
    <w:rsid w:val="00B07488"/>
    <w:rsid w:val="00B075A2"/>
    <w:rsid w:val="00B07778"/>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3727C"/>
    <w:rsid w:val="00B43672"/>
    <w:rsid w:val="00B45838"/>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3BDD"/>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226"/>
    <w:rsid w:val="00DA25E7"/>
    <w:rsid w:val="00DA2CBF"/>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78D"/>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54A6"/>
    <w:rsid w:val="00EB7DFF"/>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654C"/>
    <w:rsid w:val="00F67981"/>
    <w:rsid w:val="00F706CA"/>
    <w:rsid w:val="00F70F8D"/>
    <w:rsid w:val="00F71C5A"/>
    <w:rsid w:val="00F733A4"/>
    <w:rsid w:val="00F7758F"/>
    <w:rsid w:val="00F82811"/>
    <w:rsid w:val="00F83F8D"/>
    <w:rsid w:val="00F84153"/>
    <w:rsid w:val="00F85661"/>
    <w:rsid w:val="00F96602"/>
    <w:rsid w:val="00F9735A"/>
    <w:rsid w:val="00FA2C3D"/>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B10B99-26D9-4A9A-A1FF-2CDEE934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31C7D"/>
    <w:rPr>
      <w:sz w:val="16"/>
      <w:szCs w:val="16"/>
    </w:rPr>
  </w:style>
  <w:style w:type="paragraph" w:styleId="CommentText">
    <w:name w:val="annotation text"/>
    <w:basedOn w:val="Normal"/>
    <w:link w:val="CommentTextChar"/>
    <w:unhideWhenUsed/>
    <w:rsid w:val="00131C7D"/>
    <w:rPr>
      <w:sz w:val="20"/>
      <w:szCs w:val="20"/>
    </w:rPr>
  </w:style>
  <w:style w:type="character" w:customStyle="1" w:styleId="CommentTextChar">
    <w:name w:val="Comment Text Char"/>
    <w:basedOn w:val="DefaultParagraphFont"/>
    <w:link w:val="CommentText"/>
    <w:rsid w:val="00131C7D"/>
  </w:style>
  <w:style w:type="paragraph" w:styleId="CommentSubject">
    <w:name w:val="annotation subject"/>
    <w:basedOn w:val="CommentText"/>
    <w:next w:val="CommentText"/>
    <w:link w:val="CommentSubjectChar"/>
    <w:semiHidden/>
    <w:unhideWhenUsed/>
    <w:rsid w:val="00131C7D"/>
    <w:rPr>
      <w:b/>
      <w:bCs/>
    </w:rPr>
  </w:style>
  <w:style w:type="character" w:customStyle="1" w:styleId="CommentSubjectChar">
    <w:name w:val="Comment Subject Char"/>
    <w:basedOn w:val="CommentTextChar"/>
    <w:link w:val="CommentSubject"/>
    <w:semiHidden/>
    <w:rsid w:val="00131C7D"/>
    <w:rPr>
      <w:b/>
      <w:bCs/>
    </w:rPr>
  </w:style>
  <w:style w:type="paragraph" w:styleId="Revision">
    <w:name w:val="Revision"/>
    <w:hidden/>
    <w:uiPriority w:val="99"/>
    <w:semiHidden/>
    <w:rsid w:val="002653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3086</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BA - SB01660 (Committee Report (Unamended))</vt:lpstr>
    </vt:vector>
  </TitlesOfParts>
  <Company>State of Texas</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32396</dc:subject>
  <dc:creator>State of Texas</dc:creator>
  <dc:description>SB 1660 by Huffman-(H)Criminal Jurisprudence</dc:description>
  <cp:lastModifiedBy>Damian Duarte</cp:lastModifiedBy>
  <cp:revision>2</cp:revision>
  <cp:lastPrinted>2003-11-26T17:21:00Z</cp:lastPrinted>
  <dcterms:created xsi:type="dcterms:W3CDTF">2025-05-22T15:14:00Z</dcterms:created>
  <dcterms:modified xsi:type="dcterms:W3CDTF">2025-05-22T15:14:00Z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25.141.2004</vt:lpwstr>
  </property>
</Properties>
</file>