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36A9" w14:paraId="35D31CB3" w14:textId="77777777" w:rsidTr="00345119">
        <w:tc>
          <w:tcPr>
            <w:tcW w:w="9576" w:type="dxa"/>
            <w:noWrap/>
          </w:tcPr>
          <w:p w14:paraId="4B3470AB" w14:textId="77777777" w:rsidR="008423E4" w:rsidRPr="0022177D" w:rsidRDefault="001740FE" w:rsidP="00054260">
            <w:pPr>
              <w:pStyle w:val="Heading1"/>
            </w:pPr>
            <w:r w:rsidRPr="00631897">
              <w:t>BILL ANALYSIS</w:t>
            </w:r>
          </w:p>
        </w:tc>
      </w:tr>
    </w:tbl>
    <w:p w14:paraId="7F00CAED" w14:textId="77777777" w:rsidR="008423E4" w:rsidRPr="0022177D" w:rsidRDefault="008423E4" w:rsidP="00054260">
      <w:pPr>
        <w:jc w:val="center"/>
      </w:pPr>
    </w:p>
    <w:p w14:paraId="5C75E660" w14:textId="77777777" w:rsidR="008423E4" w:rsidRPr="00B31F0E" w:rsidRDefault="008423E4" w:rsidP="00054260"/>
    <w:p w14:paraId="3213C984" w14:textId="77777777" w:rsidR="008423E4" w:rsidRPr="00742794" w:rsidRDefault="008423E4" w:rsidP="000542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36A9" w14:paraId="312A334F" w14:textId="77777777" w:rsidTr="00345119">
        <w:tc>
          <w:tcPr>
            <w:tcW w:w="9576" w:type="dxa"/>
          </w:tcPr>
          <w:p w14:paraId="3C26A239" w14:textId="0E94C3A6" w:rsidR="008423E4" w:rsidRPr="00861995" w:rsidRDefault="001740FE" w:rsidP="00054260">
            <w:pPr>
              <w:jc w:val="right"/>
            </w:pPr>
            <w:r>
              <w:t>C.S.S.B. 1789</w:t>
            </w:r>
          </w:p>
        </w:tc>
      </w:tr>
      <w:tr w:rsidR="006B36A9" w14:paraId="695EF932" w14:textId="77777777" w:rsidTr="00345119">
        <w:tc>
          <w:tcPr>
            <w:tcW w:w="9576" w:type="dxa"/>
          </w:tcPr>
          <w:p w14:paraId="3AFF25EE" w14:textId="06F030DD" w:rsidR="008423E4" w:rsidRPr="00861995" w:rsidRDefault="001740FE" w:rsidP="00054260">
            <w:pPr>
              <w:jc w:val="right"/>
            </w:pPr>
            <w:r>
              <w:t xml:space="preserve">By: </w:t>
            </w:r>
            <w:r w:rsidR="00CC6A4B">
              <w:t>Schwertner</w:t>
            </w:r>
          </w:p>
        </w:tc>
      </w:tr>
      <w:tr w:rsidR="006B36A9" w14:paraId="183D81A6" w14:textId="77777777" w:rsidTr="00345119">
        <w:tc>
          <w:tcPr>
            <w:tcW w:w="9576" w:type="dxa"/>
          </w:tcPr>
          <w:p w14:paraId="7B8AD5EB" w14:textId="1B90335F" w:rsidR="008423E4" w:rsidRPr="00861995" w:rsidRDefault="001740FE" w:rsidP="00054260">
            <w:pPr>
              <w:jc w:val="right"/>
            </w:pPr>
            <w:r>
              <w:t>State Affairs</w:t>
            </w:r>
          </w:p>
        </w:tc>
      </w:tr>
      <w:tr w:rsidR="006B36A9" w14:paraId="3C5B2C9F" w14:textId="77777777" w:rsidTr="00345119">
        <w:tc>
          <w:tcPr>
            <w:tcW w:w="9576" w:type="dxa"/>
          </w:tcPr>
          <w:p w14:paraId="0AA378BA" w14:textId="3AA19F65" w:rsidR="008423E4" w:rsidRDefault="001740FE" w:rsidP="00054260">
            <w:pPr>
              <w:jc w:val="right"/>
            </w:pPr>
            <w:r>
              <w:t>Committee Report (Substituted)</w:t>
            </w:r>
          </w:p>
        </w:tc>
      </w:tr>
    </w:tbl>
    <w:p w14:paraId="10CB9A52" w14:textId="77777777" w:rsidR="008423E4" w:rsidRDefault="008423E4" w:rsidP="00054260">
      <w:pPr>
        <w:tabs>
          <w:tab w:val="right" w:pos="9360"/>
        </w:tabs>
      </w:pPr>
    </w:p>
    <w:p w14:paraId="6DEBE4FF" w14:textId="77777777" w:rsidR="008423E4" w:rsidRDefault="008423E4" w:rsidP="00054260"/>
    <w:p w14:paraId="0DBD0719" w14:textId="77777777" w:rsidR="008423E4" w:rsidRDefault="008423E4" w:rsidP="000542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36A9" w14:paraId="412187F7" w14:textId="77777777" w:rsidTr="00113E2D">
        <w:tc>
          <w:tcPr>
            <w:tcW w:w="9360" w:type="dxa"/>
          </w:tcPr>
          <w:p w14:paraId="27C5F252" w14:textId="77777777" w:rsidR="008423E4" w:rsidRPr="00A8133F" w:rsidRDefault="001740FE" w:rsidP="000542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FEDFC04" w14:textId="77777777" w:rsidR="008423E4" w:rsidRDefault="008423E4" w:rsidP="00054260"/>
          <w:p w14:paraId="17EA298E" w14:textId="131D2535" w:rsidR="008423E4" w:rsidRDefault="001740FE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5467FB">
              <w:t>sponsor</w:t>
            </w:r>
            <w:r>
              <w:t xml:space="preserve"> has informed the committee that r</w:t>
            </w:r>
            <w:r w:rsidR="00B735A2" w:rsidRPr="00B735A2">
              <w:t xml:space="preserve">egular inspection and maintenance of the poles and wires that support </w:t>
            </w:r>
            <w:r>
              <w:t>the state's</w:t>
            </w:r>
            <w:r w:rsidRPr="00B735A2">
              <w:t xml:space="preserve"> </w:t>
            </w:r>
            <w:r w:rsidR="00B735A2" w:rsidRPr="00B735A2">
              <w:t xml:space="preserve">vast transmission and distribution system </w:t>
            </w:r>
            <w:r w:rsidR="00792420">
              <w:t>is</w:t>
            </w:r>
            <w:r w:rsidR="00B735A2" w:rsidRPr="00B735A2">
              <w:t xml:space="preserve"> essential to ensuring overall grid resiliency</w:t>
            </w:r>
            <w:r>
              <w:t>,</w:t>
            </w:r>
            <w:r w:rsidR="00B735A2" w:rsidRPr="00B735A2">
              <w:t xml:space="preserve"> </w:t>
            </w:r>
            <w:r>
              <w:t>and that p</w:t>
            </w:r>
            <w:r w:rsidR="00B735A2" w:rsidRPr="00B735A2">
              <w:t xml:space="preserve">roactively identifying and addressing vulnerabilities can help mitigate damage from severe weather events and protect Texas homes and businesses. However, </w:t>
            </w:r>
            <w:r>
              <w:t xml:space="preserve">the bill </w:t>
            </w:r>
            <w:r w:rsidR="00570659">
              <w:t xml:space="preserve">sponsor </w:t>
            </w:r>
            <w:r>
              <w:t xml:space="preserve">has further informed the committee that </w:t>
            </w:r>
            <w:r w:rsidR="00B735A2" w:rsidRPr="00B735A2">
              <w:t xml:space="preserve">Texas currently lacks basic standards for pole inspections, repairs, reinforcements, or replacements. </w:t>
            </w:r>
            <w:r w:rsidR="00B735A2">
              <w:t>C.S.S.B.</w:t>
            </w:r>
            <w:r w:rsidR="00B735A2" w:rsidRPr="00B735A2">
              <w:t xml:space="preserve"> 1789 </w:t>
            </w:r>
            <w:r>
              <w:t>seeks to address</w:t>
            </w:r>
            <w:r w:rsidRPr="00B735A2">
              <w:t xml:space="preserve"> </w:t>
            </w:r>
            <w:r w:rsidR="00B735A2" w:rsidRPr="00B735A2">
              <w:t xml:space="preserve">this gap by </w:t>
            </w:r>
            <w:r w:rsidR="00570659">
              <w:t>requiring</w:t>
            </w:r>
            <w:r w:rsidR="00570659" w:rsidRPr="00B735A2">
              <w:t xml:space="preserve"> </w:t>
            </w:r>
            <w:r w:rsidR="00B735A2" w:rsidRPr="00B735A2">
              <w:t>the Public Utility Commission of Texas (PUC) to establish standards for the structural integrity of transmission and distribution poles</w:t>
            </w:r>
            <w:r>
              <w:t>,</w:t>
            </w:r>
            <w:r w:rsidR="00B735A2" w:rsidRPr="00B735A2">
              <w:t xml:space="preserve"> </w:t>
            </w:r>
            <w:r>
              <w:t xml:space="preserve">by </w:t>
            </w:r>
            <w:r w:rsidR="00B735A2" w:rsidRPr="00B735A2">
              <w:t>requir</w:t>
            </w:r>
            <w:r>
              <w:t>ing</w:t>
            </w:r>
            <w:r w:rsidR="00B735A2" w:rsidRPr="00B735A2">
              <w:t xml:space="preserve"> electric utilities</w:t>
            </w:r>
            <w:r w:rsidR="006E42B8">
              <w:t>, municipally owned utilities, and electric cooperatives</w:t>
            </w:r>
            <w:r w:rsidR="00B735A2" w:rsidRPr="00B735A2">
              <w:t xml:space="preserve"> to report annually on pole maintenance and repair efforts</w:t>
            </w:r>
            <w:r>
              <w:t>,</w:t>
            </w:r>
            <w:r w:rsidR="00B735A2" w:rsidRPr="00B735A2">
              <w:t xml:space="preserve"> </w:t>
            </w:r>
            <w:r>
              <w:t xml:space="preserve">and by </w:t>
            </w:r>
            <w:r w:rsidR="006E42B8">
              <w:t>authorizing</w:t>
            </w:r>
            <w:r w:rsidR="00B735A2" w:rsidRPr="00B735A2">
              <w:t xml:space="preserve"> the PUC to take </w:t>
            </w:r>
            <w:r w:rsidR="006E42B8">
              <w:t xml:space="preserve">certain </w:t>
            </w:r>
            <w:r w:rsidR="00B735A2" w:rsidRPr="00B735A2">
              <w:t>action when a</w:t>
            </w:r>
            <w:r w:rsidR="006E42B8">
              <w:t>n electric</w:t>
            </w:r>
            <w:r w:rsidR="00B735A2" w:rsidRPr="00B735A2">
              <w:t xml:space="preserve"> utility fails to </w:t>
            </w:r>
            <w:r w:rsidR="006E42B8">
              <w:t>c</w:t>
            </w:r>
            <w:r w:rsidR="006E42B8" w:rsidRPr="00BE38AC">
              <w:t xml:space="preserve">omply </w:t>
            </w:r>
            <w:r w:rsidR="006E42B8" w:rsidRPr="005467FB">
              <w:t>with the standards</w:t>
            </w:r>
            <w:r w:rsidR="006E42B8">
              <w:t xml:space="preserve"> </w:t>
            </w:r>
            <w:r w:rsidR="006E42B8" w:rsidRPr="00BE38AC">
              <w:t>and the utility's system is damaged by a weather-related event or natural disaster</w:t>
            </w:r>
            <w:r w:rsidR="00B735A2">
              <w:t>.</w:t>
            </w:r>
          </w:p>
          <w:p w14:paraId="0D48E90E" w14:textId="77777777" w:rsidR="008423E4" w:rsidRPr="00E26B13" w:rsidRDefault="008423E4" w:rsidP="00054260">
            <w:pPr>
              <w:rPr>
                <w:b/>
              </w:rPr>
            </w:pPr>
          </w:p>
        </w:tc>
      </w:tr>
      <w:tr w:rsidR="006B36A9" w14:paraId="080807E3" w14:textId="77777777" w:rsidTr="00113E2D">
        <w:tc>
          <w:tcPr>
            <w:tcW w:w="9360" w:type="dxa"/>
          </w:tcPr>
          <w:p w14:paraId="3E69EC51" w14:textId="77777777" w:rsidR="0017725B" w:rsidRDefault="001740FE" w:rsidP="000542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9BB440" w14:textId="77777777" w:rsidR="0017725B" w:rsidRDefault="0017725B" w:rsidP="00054260">
            <w:pPr>
              <w:rPr>
                <w:b/>
                <w:u w:val="single"/>
              </w:rPr>
            </w:pPr>
          </w:p>
          <w:p w14:paraId="57D890C1" w14:textId="2A362F21" w:rsidR="00C5370D" w:rsidRPr="00C5370D" w:rsidRDefault="001740FE" w:rsidP="0005426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92E8097" w14:textId="77777777" w:rsidR="0017725B" w:rsidRPr="0017725B" w:rsidRDefault="0017725B" w:rsidP="00054260">
            <w:pPr>
              <w:rPr>
                <w:b/>
                <w:u w:val="single"/>
              </w:rPr>
            </w:pPr>
          </w:p>
        </w:tc>
      </w:tr>
      <w:tr w:rsidR="006B36A9" w14:paraId="0CC49AB3" w14:textId="77777777" w:rsidTr="00113E2D">
        <w:tc>
          <w:tcPr>
            <w:tcW w:w="9360" w:type="dxa"/>
          </w:tcPr>
          <w:p w14:paraId="372339A6" w14:textId="77777777" w:rsidR="008423E4" w:rsidRPr="00A8133F" w:rsidRDefault="001740FE" w:rsidP="000542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D677942" w14:textId="77777777" w:rsidR="008423E4" w:rsidRDefault="008423E4" w:rsidP="00054260"/>
          <w:p w14:paraId="4D6A68B5" w14:textId="1EE8F2CD" w:rsidR="00C5370D" w:rsidRDefault="001740FE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Public Utility Commission of Texas in SECTION 3 of this bill.</w:t>
            </w:r>
          </w:p>
          <w:p w14:paraId="55D5F92A" w14:textId="77777777" w:rsidR="008423E4" w:rsidRPr="00E21FDC" w:rsidRDefault="008423E4" w:rsidP="00054260">
            <w:pPr>
              <w:rPr>
                <w:b/>
              </w:rPr>
            </w:pPr>
          </w:p>
        </w:tc>
      </w:tr>
      <w:tr w:rsidR="006B36A9" w14:paraId="57FF7B4A" w14:textId="77777777" w:rsidTr="00113E2D">
        <w:tc>
          <w:tcPr>
            <w:tcW w:w="9360" w:type="dxa"/>
          </w:tcPr>
          <w:p w14:paraId="6D6F81B8" w14:textId="77777777" w:rsidR="008423E4" w:rsidRPr="00A8133F" w:rsidRDefault="001740FE" w:rsidP="000542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9D04EA0" w14:textId="77777777" w:rsidR="008423E4" w:rsidRDefault="008423E4" w:rsidP="00054260"/>
          <w:p w14:paraId="36838E7B" w14:textId="60290CF6" w:rsidR="00613847" w:rsidRDefault="001740FE" w:rsidP="00054260">
            <w:pPr>
              <w:pStyle w:val="Header"/>
              <w:jc w:val="both"/>
            </w:pPr>
            <w:r>
              <w:t xml:space="preserve">C.S.S.B. 1789 amends the Utilities Code to require the Public Utility Commission of Texas (PUC) by rule to adopt standards for the structural integrity of transmission and distribution </w:t>
            </w:r>
            <w:r w:rsidRPr="0066397C">
              <w:t>poles</w:t>
            </w:r>
            <w:r w:rsidR="003F6D47" w:rsidRPr="0066397C">
              <w:t>,</w:t>
            </w:r>
            <w:r w:rsidRPr="0066397C">
              <w:t xml:space="preserve"> and </w:t>
            </w:r>
            <w:r w:rsidR="003F6D47" w:rsidRPr="0066397C">
              <w:t>to</w:t>
            </w:r>
            <w:r w:rsidR="003F6D47">
              <w:t xml:space="preserve"> </w:t>
            </w:r>
            <w:r>
              <w:t>require those standards to do the following:</w:t>
            </w:r>
          </w:p>
          <w:p w14:paraId="75AE161F" w14:textId="2278467E" w:rsidR="00613847" w:rsidRDefault="001740FE" w:rsidP="0005426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 an electric utility, municipally owned utility, or electric cooperative</w:t>
            </w:r>
            <w:r w:rsidR="003F6D47">
              <w:t xml:space="preserve"> </w:t>
            </w:r>
            <w:r w:rsidR="003F6D47" w:rsidRPr="003D48C5">
              <w:t>that operates transmission or distribution assets</w:t>
            </w:r>
            <w:r>
              <w:t xml:space="preserve"> to </w:t>
            </w:r>
            <w:r w:rsidR="00BE38AC" w:rsidRPr="00BE38AC">
              <w:t xml:space="preserve">inspect, maintain, remediate, and replace transmission and distribution poles as necessary on a timeline established by </w:t>
            </w:r>
            <w:r w:rsidR="00BE38AC">
              <w:t xml:space="preserve">the PUC and to </w:t>
            </w:r>
            <w:r w:rsidR="00BE38AC" w:rsidRPr="00BE38AC">
              <w:t xml:space="preserve">maintain records of </w:t>
            </w:r>
            <w:r w:rsidR="00B9091D">
              <w:t>those</w:t>
            </w:r>
            <w:r w:rsidR="00BE38AC" w:rsidRPr="00BE38AC">
              <w:t xml:space="preserve"> actions</w:t>
            </w:r>
            <w:r>
              <w:t>;</w:t>
            </w:r>
          </w:p>
          <w:p w14:paraId="6326F2AB" w14:textId="3EFADB32" w:rsidR="00613847" w:rsidRDefault="001740FE" w:rsidP="0005426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account for geographic </w:t>
            </w:r>
            <w:r w:rsidR="00BE38AC">
              <w:t xml:space="preserve">and weather characteristics </w:t>
            </w:r>
            <w:r>
              <w:t>of Texas;</w:t>
            </w:r>
          </w:p>
          <w:p w14:paraId="586DAE5F" w14:textId="38B7D339" w:rsidR="00613847" w:rsidRDefault="001740FE" w:rsidP="0005426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consider national guidelines such as the National Electrical Safety Code and guidelines developed by the Rural Utilities Service of the </w:t>
            </w:r>
            <w:r w:rsidRPr="0066397C">
              <w:t>United States</w:t>
            </w:r>
            <w:r>
              <w:t xml:space="preserve"> Department of Agriculture;</w:t>
            </w:r>
          </w:p>
          <w:p w14:paraId="7DFCFF64" w14:textId="77777777" w:rsidR="00BE38AC" w:rsidRDefault="001740FE" w:rsidP="0005426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establish a classification system to assess the serviceability of transmission and distribution poles </w:t>
            </w:r>
            <w:r w:rsidRPr="00BE38AC">
              <w:t>that accounts for pole maintenance and extending the service life of transmission and distribution poles</w:t>
            </w:r>
            <w:r>
              <w:t>; and</w:t>
            </w:r>
          </w:p>
          <w:p w14:paraId="34AEB483" w14:textId="0BB5B1DE" w:rsidR="00613847" w:rsidRDefault="001740FE" w:rsidP="00054260">
            <w:pPr>
              <w:pStyle w:val="Header"/>
              <w:numPr>
                <w:ilvl w:val="0"/>
                <w:numId w:val="1"/>
              </w:numPr>
              <w:jc w:val="both"/>
            </w:pPr>
            <w:r w:rsidRPr="00BE38AC">
              <w:t xml:space="preserve">consider the characteristics of electric utility, municipally owned utility, and electric cooperative transmission and distribution systems throughout </w:t>
            </w:r>
            <w:r w:rsidR="00F12763">
              <w:t>Texas</w:t>
            </w:r>
            <w:r>
              <w:t>.</w:t>
            </w:r>
          </w:p>
          <w:p w14:paraId="06231148" w14:textId="29E67634" w:rsidR="00C5370D" w:rsidRDefault="001740FE" w:rsidP="00054260">
            <w:pPr>
              <w:pStyle w:val="Header"/>
              <w:jc w:val="both"/>
            </w:pPr>
            <w:r w:rsidRPr="0066397C">
              <w:t>The bill requires the PUC</w:t>
            </w:r>
            <w:r w:rsidRPr="00C5370D">
              <w:t xml:space="preserve">, in adopting such rules, to allow an electric utility, electric cooperative, or municipally owned utility to complete any required inspection, remediation, or replacement of transmission and distribution poles installed before the </w:t>
            </w:r>
            <w:r w:rsidR="0072111E">
              <w:t xml:space="preserve">rules' </w:t>
            </w:r>
            <w:r w:rsidRPr="00C5370D">
              <w:t xml:space="preserve">effective date according to a reasonable timeline approved by the PUC that allows the utility or cooperative to prioritize </w:t>
            </w:r>
            <w:r w:rsidR="00637F63">
              <w:br/>
            </w:r>
            <w:r w:rsidRPr="00C5370D">
              <w:t>high-risk transmission and distribution poles.</w:t>
            </w:r>
          </w:p>
          <w:p w14:paraId="05150F61" w14:textId="77777777" w:rsidR="00C5370D" w:rsidRDefault="00C5370D" w:rsidP="00054260">
            <w:pPr>
              <w:pStyle w:val="Header"/>
              <w:jc w:val="both"/>
            </w:pPr>
          </w:p>
          <w:p w14:paraId="6B4712A0" w14:textId="06E48EC6" w:rsidR="00613847" w:rsidRDefault="001740FE" w:rsidP="00054260">
            <w:pPr>
              <w:pStyle w:val="Header"/>
              <w:jc w:val="both"/>
            </w:pPr>
            <w:r>
              <w:t>C.S.S.B. 1789 requires each electric utility, municipally owned utility, and electric cooperative</w:t>
            </w:r>
            <w:r w:rsidR="003F6D47">
              <w:t xml:space="preserve"> </w:t>
            </w:r>
            <w:r w:rsidR="003F6D47" w:rsidRPr="003D48C5">
              <w:t>that operates transmission or distribution assets</w:t>
            </w:r>
            <w:r w:rsidR="00B9091D">
              <w:t>,</w:t>
            </w:r>
            <w:r>
              <w:t xml:space="preserve"> </w:t>
            </w:r>
            <w:r w:rsidR="00B9091D">
              <w:t xml:space="preserve">not later than May 1 of each year, </w:t>
            </w:r>
            <w:r>
              <w:t>to submit to the PUC a</w:t>
            </w:r>
            <w:r w:rsidR="00CC6A4B">
              <w:t xml:space="preserve"> </w:t>
            </w:r>
            <w:r>
              <w:t>report</w:t>
            </w:r>
            <w:r w:rsidR="00CC6A4B">
              <w:t xml:space="preserve"> </w:t>
            </w:r>
            <w:r>
              <w:t>on the following:</w:t>
            </w:r>
          </w:p>
          <w:p w14:paraId="150EE406" w14:textId="5593B369" w:rsidR="00613847" w:rsidRDefault="001740FE" w:rsidP="00054260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implementation of the utility's or cooperative's transmission and distribution pole maintenance schedule;</w:t>
            </w:r>
          </w:p>
          <w:p w14:paraId="1A5B0EF8" w14:textId="1DAC0AD2" w:rsidR="00613847" w:rsidRDefault="001740FE" w:rsidP="00054260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results of the utility's or cooperative's inspection of transmission and distribution poles, including </w:t>
            </w:r>
            <w:r w:rsidR="00CC6A4B">
              <w:t xml:space="preserve">the number of poles inspected and </w:t>
            </w:r>
            <w:r>
              <w:t>any remediation or replacement action taken; and</w:t>
            </w:r>
          </w:p>
          <w:p w14:paraId="2F65E967" w14:textId="74D13F47" w:rsidR="00CC6A4B" w:rsidRDefault="001740FE" w:rsidP="0005426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any other information the PUC requires.</w:t>
            </w:r>
          </w:p>
          <w:p w14:paraId="25FD2219" w14:textId="3F96F246" w:rsidR="00CC6A4B" w:rsidRDefault="001740FE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</w:t>
            </w:r>
            <w:r w:rsidR="00983A47">
              <w:t>such a utility or</w:t>
            </w:r>
            <w:r w:rsidRPr="00CC6A4B">
              <w:t xml:space="preserve"> cooperative </w:t>
            </w:r>
            <w:r>
              <w:t>to</w:t>
            </w:r>
            <w:r w:rsidRPr="00CC6A4B">
              <w:t xml:space="preserve"> implement an appropriate program to provide for the inspection, maintenance, remediation, and replacement of the utility's or cooperative's transmission and distribution poles. The </w:t>
            </w:r>
            <w:r w:rsidR="00B9091D">
              <w:t xml:space="preserve">bill requires that </w:t>
            </w:r>
            <w:r w:rsidRPr="00CC6A4B">
              <w:t xml:space="preserve">program </w:t>
            </w:r>
            <w:r w:rsidR="00B9091D">
              <w:t>to</w:t>
            </w:r>
            <w:r w:rsidRPr="00CC6A4B">
              <w:t xml:space="preserve"> ensure compliance with the </w:t>
            </w:r>
            <w:r w:rsidR="005467FB">
              <w:t xml:space="preserve">structural integrity </w:t>
            </w:r>
            <w:r w:rsidRPr="00CC6A4B">
              <w:t xml:space="preserve">standards adopted </w:t>
            </w:r>
            <w:r w:rsidRPr="005467FB">
              <w:t>under the bill.</w:t>
            </w:r>
          </w:p>
          <w:p w14:paraId="47E36816" w14:textId="77777777" w:rsidR="00613847" w:rsidRDefault="00613847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45B24DA" w14:textId="33819C4B" w:rsidR="00613847" w:rsidRDefault="001740FE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0E2E">
              <w:t xml:space="preserve">C.S.S.B. 1789 </w:t>
            </w:r>
            <w:r w:rsidR="00BE38AC">
              <w:t xml:space="preserve">authorizes </w:t>
            </w:r>
            <w:r w:rsidR="00BE38AC" w:rsidRPr="00BE38AC">
              <w:t xml:space="preserve">the </w:t>
            </w:r>
            <w:r w:rsidR="00BE38AC">
              <w:t xml:space="preserve">PUC, </w:t>
            </w:r>
            <w:r w:rsidR="00BE38AC" w:rsidRPr="00BE38AC">
              <w:t xml:space="preserve">if an electric utility fails to comply </w:t>
            </w:r>
            <w:r w:rsidR="00BE38AC" w:rsidRPr="005467FB">
              <w:t>with the structural integrity standards</w:t>
            </w:r>
            <w:r w:rsidR="005467FB">
              <w:t xml:space="preserve"> adopted under the bill</w:t>
            </w:r>
            <w:r w:rsidR="00BE38AC" w:rsidRPr="00BE38AC">
              <w:t xml:space="preserve"> and the utility's system is damaged by a </w:t>
            </w:r>
            <w:r w:rsidR="00637F63">
              <w:br/>
            </w:r>
            <w:r w:rsidR="00BE38AC" w:rsidRPr="00BE38AC">
              <w:t>weather-related event or natural disaster</w:t>
            </w:r>
            <w:r w:rsidR="00BE38AC">
              <w:t>,</w:t>
            </w:r>
            <w:r w:rsidR="00BE38AC" w:rsidRPr="00BE38AC">
              <w:t xml:space="preserve"> </w:t>
            </w:r>
            <w:r w:rsidR="00BE38AC">
              <w:t>to</w:t>
            </w:r>
            <w:r w:rsidR="00BE38AC" w:rsidRPr="00BE38AC">
              <w:t xml:space="preserve"> reduce the utility's return on equity for infrastructure used or installed to repair or replace the damaged portion of the system</w:t>
            </w:r>
            <w:r w:rsidR="00601304" w:rsidRPr="00BE38AC">
              <w:t xml:space="preserve"> at the utility's next rate proceeding</w:t>
            </w:r>
            <w:r w:rsidR="00BE38AC" w:rsidRPr="00BE38AC">
              <w:t>.</w:t>
            </w:r>
          </w:p>
          <w:p w14:paraId="409B202C" w14:textId="77777777" w:rsidR="00992023" w:rsidRDefault="00992023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32FED98" w14:textId="7C4482CF" w:rsidR="00FD07D8" w:rsidRDefault="001740FE" w:rsidP="00054260">
            <w:pPr>
              <w:pStyle w:val="Header"/>
              <w:jc w:val="both"/>
            </w:pPr>
            <w:r w:rsidRPr="00580E2E">
              <w:t>C.S.S.B. 1789</w:t>
            </w:r>
            <w:r w:rsidR="00911D42">
              <w:t xml:space="preserve"> revises</w:t>
            </w:r>
            <w:r w:rsidR="00BF5DDC">
              <w:t xml:space="preserve"> </w:t>
            </w:r>
            <w:r w:rsidR="004C6936">
              <w:t>provisions authorizing</w:t>
            </w:r>
            <w:r>
              <w:t xml:space="preserve"> the PUC </w:t>
            </w:r>
            <w:r w:rsidR="00DE2137">
              <w:t>to</w:t>
            </w:r>
            <w:r>
              <w:t xml:space="preserve"> take </w:t>
            </w:r>
            <w:r w:rsidRPr="00FD07D8">
              <w:t>appropriate enforcement</w:t>
            </w:r>
            <w:r>
              <w:t xml:space="preserve"> </w:t>
            </w:r>
            <w:r w:rsidR="005527E8">
              <w:t xml:space="preserve">action </w:t>
            </w:r>
            <w:r w:rsidR="00BF5DDC" w:rsidRPr="00BF5DDC">
              <w:t>if any of</w:t>
            </w:r>
            <w:r w:rsidR="00E044DA">
              <w:t xml:space="preserve"> an electric utility's or transmission and distribution</w:t>
            </w:r>
            <w:r w:rsidR="00BF5DDC" w:rsidRPr="00BF5DDC">
              <w:t xml:space="preserve"> utility's feeders with 10 or more customers has had a </w:t>
            </w:r>
            <w:r w:rsidR="00C10C70" w:rsidRPr="0029638E">
              <w:t>system-average interruption duration index</w:t>
            </w:r>
            <w:r w:rsidR="00C10C70">
              <w:t xml:space="preserve"> (SAIDI)</w:t>
            </w:r>
            <w:r w:rsidR="00C10C70" w:rsidRPr="0029638E">
              <w:t xml:space="preserve"> </w:t>
            </w:r>
            <w:r w:rsidR="00C10C70">
              <w:t xml:space="preserve">or </w:t>
            </w:r>
            <w:r w:rsidR="00C10C70" w:rsidRPr="0029638E">
              <w:t xml:space="preserve">system-average interruption frequency index </w:t>
            </w:r>
            <w:r w:rsidR="008A4ECF">
              <w:t xml:space="preserve">(SAIFI) </w:t>
            </w:r>
            <w:r w:rsidR="00C10C70">
              <w:t xml:space="preserve">average </w:t>
            </w:r>
            <w:r w:rsidR="00BF5DDC" w:rsidRPr="00BF5DDC">
              <w:t>that is more than</w:t>
            </w:r>
            <w:r w:rsidR="00BF5DDC">
              <w:t xml:space="preserve"> 300 </w:t>
            </w:r>
            <w:r w:rsidR="00BF5DDC" w:rsidRPr="00BF5DDC">
              <w:t>percent greater than the system average of all feeders during any two-year period</w:t>
            </w:r>
            <w:r w:rsidR="00911D42">
              <w:t xml:space="preserve"> by</w:t>
            </w:r>
            <w:r w:rsidR="004C6936">
              <w:t xml:space="preserve"> doing the following</w:t>
            </w:r>
            <w:r w:rsidR="00DE2137">
              <w:t>:</w:t>
            </w:r>
          </w:p>
          <w:p w14:paraId="3834CE74" w14:textId="7F49D371" w:rsidR="005527E8" w:rsidRDefault="001740FE" w:rsidP="00054260">
            <w:pPr>
              <w:pStyle w:val="Header"/>
              <w:numPr>
                <w:ilvl w:val="0"/>
                <w:numId w:val="3"/>
              </w:numPr>
              <w:jc w:val="both"/>
            </w:pPr>
            <w:r>
              <w:t>lowering that threshold percentage to</w:t>
            </w:r>
            <w:r w:rsidR="001A116F">
              <w:t xml:space="preserve"> </w:t>
            </w:r>
            <w:r>
              <w:t>2</w:t>
            </w:r>
            <w:r w:rsidR="001A116F">
              <w:t xml:space="preserve">00 percent greater than the </w:t>
            </w:r>
            <w:r w:rsidR="001A116F" w:rsidRPr="001A116F">
              <w:t>system average of all feeders during any two-year period</w:t>
            </w:r>
            <w:r w:rsidR="0029638E">
              <w:t>; and</w:t>
            </w:r>
          </w:p>
          <w:p w14:paraId="2A070D80" w14:textId="7F5D3665" w:rsidR="005527E8" w:rsidRDefault="001740FE" w:rsidP="00054260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requiring the PUC, in determining the appropriate enforcement action, to consider </w:t>
            </w:r>
            <w:r w:rsidRPr="00992023">
              <w:t>the duration of each interruption in the feeder's service</w:t>
            </w:r>
            <w:r w:rsidR="0029638E">
              <w:t>.</w:t>
            </w:r>
          </w:p>
          <w:p w14:paraId="5EC3AC4D" w14:textId="369A5535" w:rsidR="00F5608F" w:rsidRDefault="001740FE" w:rsidP="00054260">
            <w:pPr>
              <w:pStyle w:val="Header"/>
              <w:jc w:val="both"/>
            </w:pPr>
            <w:r>
              <w:t xml:space="preserve">These provisions </w:t>
            </w:r>
            <w:r w:rsidRPr="00011A3A">
              <w:t xml:space="preserve">apply only to an enforcement action initiated by the </w:t>
            </w:r>
            <w:r>
              <w:t>PUC</w:t>
            </w:r>
            <w:r w:rsidRPr="00011A3A">
              <w:t xml:space="preserve"> on or after the</w:t>
            </w:r>
            <w:r>
              <w:t xml:space="preserve"> bill's</w:t>
            </w:r>
            <w:r w:rsidRPr="00011A3A">
              <w:t xml:space="preserve"> effective date</w:t>
            </w:r>
            <w:r>
              <w:t xml:space="preserve">. </w:t>
            </w:r>
            <w:r w:rsidRPr="00011A3A">
              <w:t xml:space="preserve">An enforcement action initiated before the </w:t>
            </w:r>
            <w:r>
              <w:t xml:space="preserve">bill's </w:t>
            </w:r>
            <w:r w:rsidRPr="00011A3A">
              <w:t xml:space="preserve">effective date is governed by the law in effect immediately before </w:t>
            </w:r>
            <w:r w:rsidR="005B5437">
              <w:t xml:space="preserve">that </w:t>
            </w:r>
            <w:r>
              <w:t>date</w:t>
            </w:r>
            <w:r w:rsidRPr="00011A3A">
              <w:t>, and the former law is continued in effect for that purpose.</w:t>
            </w:r>
          </w:p>
          <w:p w14:paraId="4385FE2A" w14:textId="77777777" w:rsidR="00F5608F" w:rsidRDefault="00F5608F" w:rsidP="00054260">
            <w:pPr>
              <w:pStyle w:val="Header"/>
              <w:jc w:val="both"/>
            </w:pPr>
          </w:p>
          <w:p w14:paraId="3CCA1DE8" w14:textId="59C3B2C3" w:rsidR="00F5608F" w:rsidRPr="009C36CD" w:rsidRDefault="001740FE" w:rsidP="00054260">
            <w:pPr>
              <w:pStyle w:val="Header"/>
              <w:jc w:val="both"/>
            </w:pPr>
            <w:r w:rsidRPr="00580E2E">
              <w:t xml:space="preserve">C.S.S.B. 1789 </w:t>
            </w:r>
            <w:r>
              <w:t xml:space="preserve">removes </w:t>
            </w:r>
            <w:r w:rsidR="005B5437">
              <w:t>from the required infrastructure improvement and maintenance report submitted by each electric utility to the PUC n</w:t>
            </w:r>
            <w:r w:rsidR="005B5437" w:rsidRPr="00C5370D">
              <w:t>ot later than May 1 of each year</w:t>
            </w:r>
            <w:r w:rsidR="005B5437">
              <w:t xml:space="preserve"> the utility's </w:t>
            </w:r>
            <w:r>
              <w:t xml:space="preserve">activities related to </w:t>
            </w:r>
            <w:r w:rsidRPr="00F5608F">
              <w:t>inspecting distribution poles</w:t>
            </w:r>
            <w:r w:rsidR="005B5437">
              <w:t>.</w:t>
            </w:r>
          </w:p>
          <w:p w14:paraId="037FC6EF" w14:textId="77777777" w:rsidR="008423E4" w:rsidRPr="00835628" w:rsidRDefault="008423E4" w:rsidP="00054260">
            <w:pPr>
              <w:rPr>
                <w:b/>
              </w:rPr>
            </w:pPr>
          </w:p>
        </w:tc>
      </w:tr>
      <w:tr w:rsidR="006B36A9" w14:paraId="0857F8E7" w14:textId="77777777" w:rsidTr="00113E2D">
        <w:tc>
          <w:tcPr>
            <w:tcW w:w="9360" w:type="dxa"/>
          </w:tcPr>
          <w:p w14:paraId="7F29B61F" w14:textId="77777777" w:rsidR="008423E4" w:rsidRPr="00A8133F" w:rsidRDefault="001740FE" w:rsidP="000542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3CC735" w14:textId="77777777" w:rsidR="008423E4" w:rsidRDefault="008423E4" w:rsidP="00054260"/>
          <w:p w14:paraId="7CB33782" w14:textId="30C16FFD" w:rsidR="008423E4" w:rsidRPr="003624F2" w:rsidRDefault="001740FE" w:rsidP="000542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2656ECA" w14:textId="77777777" w:rsidR="008423E4" w:rsidRPr="00233FDB" w:rsidRDefault="008423E4" w:rsidP="00054260">
            <w:pPr>
              <w:rPr>
                <w:b/>
              </w:rPr>
            </w:pPr>
          </w:p>
        </w:tc>
      </w:tr>
      <w:tr w:rsidR="006B36A9" w14:paraId="0797A202" w14:textId="77777777" w:rsidTr="00113E2D">
        <w:tc>
          <w:tcPr>
            <w:tcW w:w="9360" w:type="dxa"/>
          </w:tcPr>
          <w:p w14:paraId="4E90BFAB" w14:textId="77777777" w:rsidR="00CC6A4B" w:rsidRDefault="001740FE" w:rsidP="0005426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522139BA" w14:textId="77777777" w:rsidR="00580E2E" w:rsidRDefault="00580E2E" w:rsidP="00054260">
            <w:pPr>
              <w:jc w:val="both"/>
            </w:pPr>
          </w:p>
          <w:p w14:paraId="0E7D0456" w14:textId="063B2891" w:rsidR="00580E2E" w:rsidRDefault="001740FE" w:rsidP="00054260">
            <w:pPr>
              <w:jc w:val="both"/>
            </w:pPr>
            <w:r>
              <w:t xml:space="preserve">While C.S.S.B. 1789 may differ from the </w:t>
            </w:r>
            <w:r>
              <w:t>engrossed in minor or nonsubstantive ways, the following summarizes the substantial differences between the engrossed and committee substitute versions of the bill.</w:t>
            </w:r>
          </w:p>
          <w:p w14:paraId="6A3B2AD6" w14:textId="77777777" w:rsidR="00580E2E" w:rsidRPr="00580E2E" w:rsidRDefault="00580E2E" w:rsidP="00054260">
            <w:pPr>
              <w:jc w:val="both"/>
            </w:pPr>
          </w:p>
          <w:p w14:paraId="6DCA6806" w14:textId="43ADBAE1" w:rsidR="00580E2E" w:rsidRDefault="001740FE" w:rsidP="00054260">
            <w:pPr>
              <w:jc w:val="both"/>
              <w:rPr>
                <w:bCs/>
              </w:rPr>
            </w:pPr>
            <w:r w:rsidRPr="00580E2E">
              <w:rPr>
                <w:bCs/>
              </w:rPr>
              <w:t xml:space="preserve">The substitute omits the following provisions </w:t>
            </w:r>
            <w:r w:rsidR="00B735A2">
              <w:rPr>
                <w:bCs/>
              </w:rPr>
              <w:t>in</w:t>
            </w:r>
            <w:r w:rsidRPr="00580E2E">
              <w:rPr>
                <w:bCs/>
              </w:rPr>
              <w:t xml:space="preserve"> the engrossed</w:t>
            </w:r>
            <w:r w:rsidR="004C6936">
              <w:rPr>
                <w:bCs/>
              </w:rPr>
              <w:t xml:space="preserve"> that established the following</w:t>
            </w:r>
            <w:r w:rsidRPr="00580E2E">
              <w:rPr>
                <w:bCs/>
              </w:rPr>
              <w:t>:</w:t>
            </w:r>
          </w:p>
          <w:p w14:paraId="34531057" w14:textId="09518488" w:rsidR="00580E2E" w:rsidRDefault="001740FE" w:rsidP="0005426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the bill's provisions relating to the structural integrity standards for transmission and distribution poles </w:t>
            </w:r>
            <w:r w:rsidRPr="00580E2E">
              <w:rPr>
                <w:bCs/>
              </w:rPr>
              <w:t xml:space="preserve">do not expand the </w:t>
            </w:r>
            <w:r>
              <w:rPr>
                <w:bCs/>
              </w:rPr>
              <w:t>PUC's</w:t>
            </w:r>
            <w:r w:rsidRPr="00580E2E">
              <w:rPr>
                <w:bCs/>
              </w:rPr>
              <w:t xml:space="preserve"> jurisdiction over an electric cooperative beyond the jurisdiction </w:t>
            </w:r>
            <w:r w:rsidR="00D3364B">
              <w:rPr>
                <w:bCs/>
              </w:rPr>
              <w:t xml:space="preserve">previously granted under </w:t>
            </w:r>
            <w:r w:rsidR="00AF5DE0">
              <w:rPr>
                <w:bCs/>
              </w:rPr>
              <w:t>statutory provisions governing such cooperatives</w:t>
            </w:r>
            <w:r w:rsidR="00113E2D">
              <w:rPr>
                <w:bCs/>
              </w:rPr>
              <w:t>; and</w:t>
            </w:r>
            <w:r w:rsidRPr="00580E2E">
              <w:rPr>
                <w:bCs/>
              </w:rPr>
              <w:t xml:space="preserve"> </w:t>
            </w:r>
          </w:p>
          <w:p w14:paraId="45205FCB" w14:textId="4FEBD82B" w:rsidR="00580E2E" w:rsidRDefault="001740FE" w:rsidP="0005426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a report submitted</w:t>
            </w:r>
            <w:r w:rsidR="00113E2D">
              <w:rPr>
                <w:bCs/>
              </w:rPr>
              <w:t xml:space="preserve"> under </w:t>
            </w:r>
            <w:r w:rsidR="00AF5DE0">
              <w:rPr>
                <w:bCs/>
              </w:rPr>
              <w:t>those bill</w:t>
            </w:r>
            <w:r w:rsidR="00113E2D">
              <w:rPr>
                <w:bCs/>
              </w:rPr>
              <w:t xml:space="preserve"> provisions</w:t>
            </w:r>
            <w:r w:rsidRPr="00580E2E">
              <w:rPr>
                <w:bCs/>
              </w:rPr>
              <w:t xml:space="preserve"> is considered a report to ensure public safety</w:t>
            </w:r>
            <w:r w:rsidR="00113E2D">
              <w:rPr>
                <w:bCs/>
              </w:rPr>
              <w:t xml:space="preserve"> for purposes of the</w:t>
            </w:r>
            <w:r w:rsidR="00AF5DE0">
              <w:rPr>
                <w:bCs/>
              </w:rPr>
              <w:t xml:space="preserve"> statutory restrictions on the</w:t>
            </w:r>
            <w:r w:rsidR="00113E2D">
              <w:rPr>
                <w:bCs/>
              </w:rPr>
              <w:t xml:space="preserve"> PUC's </w:t>
            </w:r>
            <w:r w:rsidR="00AF5DE0">
              <w:rPr>
                <w:bCs/>
              </w:rPr>
              <w:t>authority to require reports of an</w:t>
            </w:r>
            <w:r w:rsidR="00113E2D">
              <w:rPr>
                <w:bCs/>
              </w:rPr>
              <w:t xml:space="preserve"> electric cooperative</w:t>
            </w:r>
            <w:r w:rsidR="00DC27EA">
              <w:rPr>
                <w:bCs/>
              </w:rPr>
              <w:t>'s operations</w:t>
            </w:r>
            <w:r w:rsidR="00113E2D">
              <w:rPr>
                <w:bCs/>
              </w:rPr>
              <w:t>.</w:t>
            </w:r>
          </w:p>
          <w:p w14:paraId="45D49652" w14:textId="3692FAE5" w:rsidR="000178F5" w:rsidRPr="000178F5" w:rsidRDefault="000178F5" w:rsidP="00054260">
            <w:pPr>
              <w:jc w:val="both"/>
              <w:rPr>
                <w:bCs/>
              </w:rPr>
            </w:pPr>
          </w:p>
        </w:tc>
      </w:tr>
    </w:tbl>
    <w:p w14:paraId="31F46E44" w14:textId="77777777" w:rsidR="008423E4" w:rsidRPr="00BE0E75" w:rsidRDefault="008423E4" w:rsidP="00054260">
      <w:pPr>
        <w:jc w:val="both"/>
        <w:rPr>
          <w:rFonts w:ascii="Arial" w:hAnsi="Arial"/>
          <w:sz w:val="16"/>
          <w:szCs w:val="16"/>
        </w:rPr>
      </w:pPr>
    </w:p>
    <w:p w14:paraId="093707F4" w14:textId="77777777" w:rsidR="004108C3" w:rsidRPr="008423E4" w:rsidRDefault="004108C3" w:rsidP="0005426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62C6" w14:textId="77777777" w:rsidR="001740FE" w:rsidRDefault="001740FE">
      <w:r>
        <w:separator/>
      </w:r>
    </w:p>
  </w:endnote>
  <w:endnote w:type="continuationSeparator" w:id="0">
    <w:p w14:paraId="7812835E" w14:textId="77777777" w:rsidR="001740FE" w:rsidRDefault="0017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EA9D" w14:textId="77777777" w:rsidR="00617422" w:rsidRDefault="00617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36A9" w14:paraId="7B0009FA" w14:textId="77777777" w:rsidTr="009C1E9A">
      <w:trPr>
        <w:cantSplit/>
      </w:trPr>
      <w:tc>
        <w:tcPr>
          <w:tcW w:w="0" w:type="pct"/>
        </w:tcPr>
        <w:p w14:paraId="15B1AC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4579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049F1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AFA2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F091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36A9" w14:paraId="015C0807" w14:textId="77777777" w:rsidTr="009C1E9A">
      <w:trPr>
        <w:cantSplit/>
      </w:trPr>
      <w:tc>
        <w:tcPr>
          <w:tcW w:w="0" w:type="pct"/>
        </w:tcPr>
        <w:p w14:paraId="4B8BA6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88A8A8" w14:textId="45DDE573" w:rsidR="00EC379B" w:rsidRPr="009C1E9A" w:rsidRDefault="001740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28701-D</w:t>
          </w:r>
        </w:p>
      </w:tc>
      <w:tc>
        <w:tcPr>
          <w:tcW w:w="2453" w:type="pct"/>
        </w:tcPr>
        <w:p w14:paraId="60BB0281" w14:textId="798395E1" w:rsidR="00EC379B" w:rsidRDefault="001740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17422">
            <w:t>25.127.1971</w:t>
          </w:r>
          <w:r>
            <w:fldChar w:fldCharType="end"/>
          </w:r>
        </w:p>
      </w:tc>
    </w:tr>
    <w:tr w:rsidR="006B36A9" w14:paraId="1BBFFBAF" w14:textId="77777777" w:rsidTr="009C1E9A">
      <w:trPr>
        <w:cantSplit/>
      </w:trPr>
      <w:tc>
        <w:tcPr>
          <w:tcW w:w="0" w:type="pct"/>
        </w:tcPr>
        <w:p w14:paraId="42AC9D0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3100C7F" w14:textId="060F7591" w:rsidR="00EC379B" w:rsidRPr="009C1E9A" w:rsidRDefault="001740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26693</w:t>
          </w:r>
        </w:p>
      </w:tc>
      <w:tc>
        <w:tcPr>
          <w:tcW w:w="2453" w:type="pct"/>
        </w:tcPr>
        <w:p w14:paraId="49BC675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D52A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36A9" w14:paraId="1B32092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F271B4D" w14:textId="77777777" w:rsidR="00EC379B" w:rsidRDefault="001740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4F31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996CDD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FD09" w14:textId="77777777" w:rsidR="00617422" w:rsidRDefault="0061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1FB4" w14:textId="77777777" w:rsidR="001740FE" w:rsidRDefault="001740FE">
      <w:r>
        <w:separator/>
      </w:r>
    </w:p>
  </w:footnote>
  <w:footnote w:type="continuationSeparator" w:id="0">
    <w:p w14:paraId="05799A2A" w14:textId="77777777" w:rsidR="001740FE" w:rsidRDefault="0017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8E2B" w14:textId="77777777" w:rsidR="00617422" w:rsidRDefault="00617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15D" w14:textId="77777777" w:rsidR="00617422" w:rsidRDefault="00617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425E" w14:textId="77777777" w:rsidR="00617422" w:rsidRDefault="00617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C10CB"/>
    <w:multiLevelType w:val="hybridMultilevel"/>
    <w:tmpl w:val="DD6E552C"/>
    <w:lvl w:ilvl="0" w:tplc="D618E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E4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888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A9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6A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63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4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8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69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22382"/>
    <w:multiLevelType w:val="hybridMultilevel"/>
    <w:tmpl w:val="F0CA10F0"/>
    <w:lvl w:ilvl="0" w:tplc="C7348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C9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27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E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83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3EB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C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E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0A03"/>
    <w:multiLevelType w:val="hybridMultilevel"/>
    <w:tmpl w:val="69988502"/>
    <w:lvl w:ilvl="0" w:tplc="335A5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225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67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4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A5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A2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C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2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AF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D5527"/>
    <w:multiLevelType w:val="hybridMultilevel"/>
    <w:tmpl w:val="E41E11E8"/>
    <w:lvl w:ilvl="0" w:tplc="2B804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40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E5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4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0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4F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2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00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2C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7409">
    <w:abstractNumId w:val="3"/>
  </w:num>
  <w:num w:numId="2" w16cid:durableId="606698653">
    <w:abstractNumId w:val="2"/>
  </w:num>
  <w:num w:numId="3" w16cid:durableId="306280178">
    <w:abstractNumId w:val="0"/>
  </w:num>
  <w:num w:numId="4" w16cid:durableId="6607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47"/>
    <w:rsid w:val="00000A70"/>
    <w:rsid w:val="00000CDE"/>
    <w:rsid w:val="000032B8"/>
    <w:rsid w:val="00003B06"/>
    <w:rsid w:val="000054B9"/>
    <w:rsid w:val="00007461"/>
    <w:rsid w:val="0001117E"/>
    <w:rsid w:val="0001125F"/>
    <w:rsid w:val="00011A3A"/>
    <w:rsid w:val="0001338E"/>
    <w:rsid w:val="00013D24"/>
    <w:rsid w:val="00014AF0"/>
    <w:rsid w:val="000155D6"/>
    <w:rsid w:val="00015D4E"/>
    <w:rsid w:val="000178F5"/>
    <w:rsid w:val="00020C1E"/>
    <w:rsid w:val="00020E9B"/>
    <w:rsid w:val="00021B4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99E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260"/>
    <w:rsid w:val="000555E0"/>
    <w:rsid w:val="00055C12"/>
    <w:rsid w:val="000608B0"/>
    <w:rsid w:val="0006104C"/>
    <w:rsid w:val="000639C4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7D6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3E2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4E5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79F"/>
    <w:rsid w:val="00167DE5"/>
    <w:rsid w:val="00171BF2"/>
    <w:rsid w:val="0017206A"/>
    <w:rsid w:val="00172265"/>
    <w:rsid w:val="0017347B"/>
    <w:rsid w:val="001740FE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16F"/>
    <w:rsid w:val="001A2BDD"/>
    <w:rsid w:val="001A3DDF"/>
    <w:rsid w:val="001A4310"/>
    <w:rsid w:val="001A4D05"/>
    <w:rsid w:val="001A58C1"/>
    <w:rsid w:val="001B053A"/>
    <w:rsid w:val="001B26D8"/>
    <w:rsid w:val="001B2DBC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B86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140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1649"/>
    <w:rsid w:val="0029638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4C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EC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5D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0206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8C5"/>
    <w:rsid w:val="003D726D"/>
    <w:rsid w:val="003E0875"/>
    <w:rsid w:val="003E0BB8"/>
    <w:rsid w:val="003E6CB0"/>
    <w:rsid w:val="003F1F5E"/>
    <w:rsid w:val="003F286A"/>
    <w:rsid w:val="003F6D47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0ECA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35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936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18C4"/>
    <w:rsid w:val="0051324D"/>
    <w:rsid w:val="00515466"/>
    <w:rsid w:val="005154F7"/>
    <w:rsid w:val="005159DE"/>
    <w:rsid w:val="00524B43"/>
    <w:rsid w:val="00525DDA"/>
    <w:rsid w:val="005269CE"/>
    <w:rsid w:val="005304B2"/>
    <w:rsid w:val="00532DFB"/>
    <w:rsid w:val="005336BD"/>
    <w:rsid w:val="00534A49"/>
    <w:rsid w:val="005363BB"/>
    <w:rsid w:val="00541B98"/>
    <w:rsid w:val="00543374"/>
    <w:rsid w:val="00545548"/>
    <w:rsid w:val="005467FB"/>
    <w:rsid w:val="00546923"/>
    <w:rsid w:val="00551CA6"/>
    <w:rsid w:val="005527E8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0659"/>
    <w:rsid w:val="005730B6"/>
    <w:rsid w:val="00573401"/>
    <w:rsid w:val="00576714"/>
    <w:rsid w:val="0057685A"/>
    <w:rsid w:val="00580E2E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437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AFC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304"/>
    <w:rsid w:val="00603B0F"/>
    <w:rsid w:val="006049F5"/>
    <w:rsid w:val="00605F7B"/>
    <w:rsid w:val="00607E64"/>
    <w:rsid w:val="006106E9"/>
    <w:rsid w:val="0061159E"/>
    <w:rsid w:val="00613847"/>
    <w:rsid w:val="00614633"/>
    <w:rsid w:val="00614BC8"/>
    <w:rsid w:val="006151FB"/>
    <w:rsid w:val="00617411"/>
    <w:rsid w:val="00617422"/>
    <w:rsid w:val="006249CB"/>
    <w:rsid w:val="006272DD"/>
    <w:rsid w:val="00630963"/>
    <w:rsid w:val="00631897"/>
    <w:rsid w:val="00632928"/>
    <w:rsid w:val="006330DA"/>
    <w:rsid w:val="00633262"/>
    <w:rsid w:val="00633460"/>
    <w:rsid w:val="00637F63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97C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6A9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2B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11E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BCC"/>
    <w:rsid w:val="007762A2"/>
    <w:rsid w:val="00777518"/>
    <w:rsid w:val="0077779E"/>
    <w:rsid w:val="00780FB6"/>
    <w:rsid w:val="0078552A"/>
    <w:rsid w:val="00785729"/>
    <w:rsid w:val="00786058"/>
    <w:rsid w:val="00792420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D44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EC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1939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D4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46D"/>
    <w:rsid w:val="00944ABA"/>
    <w:rsid w:val="00945A8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83D"/>
    <w:rsid w:val="0098285C"/>
    <w:rsid w:val="00983655"/>
    <w:rsid w:val="00983A47"/>
    <w:rsid w:val="00983B56"/>
    <w:rsid w:val="009847FD"/>
    <w:rsid w:val="00984EDE"/>
    <w:rsid w:val="009851B3"/>
    <w:rsid w:val="00985300"/>
    <w:rsid w:val="00986720"/>
    <w:rsid w:val="00987F00"/>
    <w:rsid w:val="00992023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FCE"/>
    <w:rsid w:val="009B5069"/>
    <w:rsid w:val="009B69AD"/>
    <w:rsid w:val="009B6C3F"/>
    <w:rsid w:val="009B7806"/>
    <w:rsid w:val="009C05C1"/>
    <w:rsid w:val="009C1AAC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2CAA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00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53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5DE0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0EE7"/>
    <w:rsid w:val="00B233BB"/>
    <w:rsid w:val="00B25612"/>
    <w:rsid w:val="00B26437"/>
    <w:rsid w:val="00B2678E"/>
    <w:rsid w:val="00B30647"/>
    <w:rsid w:val="00B31F0E"/>
    <w:rsid w:val="00B34180"/>
    <w:rsid w:val="00B34F25"/>
    <w:rsid w:val="00B43672"/>
    <w:rsid w:val="00B473D8"/>
    <w:rsid w:val="00B47464"/>
    <w:rsid w:val="00B50CC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5A2"/>
    <w:rsid w:val="00B73BB4"/>
    <w:rsid w:val="00B80532"/>
    <w:rsid w:val="00B82039"/>
    <w:rsid w:val="00B82454"/>
    <w:rsid w:val="00B90097"/>
    <w:rsid w:val="00B9091D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8AC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DDC"/>
    <w:rsid w:val="00C013F4"/>
    <w:rsid w:val="00C040AB"/>
    <w:rsid w:val="00C0499B"/>
    <w:rsid w:val="00C05406"/>
    <w:rsid w:val="00C05CF0"/>
    <w:rsid w:val="00C0793A"/>
    <w:rsid w:val="00C10C7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70D"/>
    <w:rsid w:val="00C57933"/>
    <w:rsid w:val="00C60206"/>
    <w:rsid w:val="00C615D4"/>
    <w:rsid w:val="00C61B5D"/>
    <w:rsid w:val="00C61C0E"/>
    <w:rsid w:val="00C61C64"/>
    <w:rsid w:val="00C61CDA"/>
    <w:rsid w:val="00C70662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4B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647"/>
    <w:rsid w:val="00D22160"/>
    <w:rsid w:val="00D22172"/>
    <w:rsid w:val="00D2301B"/>
    <w:rsid w:val="00D239EE"/>
    <w:rsid w:val="00D30534"/>
    <w:rsid w:val="00D31442"/>
    <w:rsid w:val="00D32778"/>
    <w:rsid w:val="00D3364B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7EA"/>
    <w:rsid w:val="00DC3D8F"/>
    <w:rsid w:val="00DC42E8"/>
    <w:rsid w:val="00DC6DBB"/>
    <w:rsid w:val="00DC7680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13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4DA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6917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763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090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08F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07D8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9A7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7DB365-8A60-4E2B-97F0-A080A28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38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3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8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847"/>
    <w:rPr>
      <w:b/>
      <w:bCs/>
    </w:rPr>
  </w:style>
  <w:style w:type="paragraph" w:styleId="Revision">
    <w:name w:val="Revision"/>
    <w:hidden/>
    <w:uiPriority w:val="99"/>
    <w:semiHidden/>
    <w:rsid w:val="003F6D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5746</Characters>
  <Application>Microsoft Office Word</Application>
  <DocSecurity>0</DocSecurity>
  <Lines>118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SB01789 (Committee Report (Substituted))</vt:lpstr>
    </vt:vector>
  </TitlesOfParts>
  <Company>State of Texas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28701</dc:subject>
  <dc:creator>State of Texas</dc:creator>
  <dc:description>SB 1789 by Schwertner-(H)State Affairs (Substitute Document Number: 89R 26693)</dc:description>
  <cp:lastModifiedBy>Thomas Weis</cp:lastModifiedBy>
  <cp:revision>2</cp:revision>
  <cp:lastPrinted>2003-11-26T17:21:00Z</cp:lastPrinted>
  <dcterms:created xsi:type="dcterms:W3CDTF">2025-05-10T01:01:00Z</dcterms:created>
  <dcterms:modified xsi:type="dcterms:W3CDTF">2025-05-10T01:01:00Z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25.127.1971</vt:lpwstr>
  </property>
</Properties>
</file>