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A2D8C" w14:paraId="5FEA501D" w14:textId="77777777" w:rsidTr="00345119">
        <w:tc>
          <w:tcPr>
            <w:tcW w:w="9576" w:type="dxa"/>
            <w:noWrap/>
          </w:tcPr>
          <w:p w14:paraId="55560428" w14:textId="77777777" w:rsidR="008423E4" w:rsidRPr="0022177D" w:rsidRDefault="004462EC" w:rsidP="00602086">
            <w:pPr>
              <w:pStyle w:val="Heading1"/>
            </w:pPr>
            <w:r w:rsidRPr="00631897">
              <w:t>BILL ANALYSIS</w:t>
            </w:r>
          </w:p>
        </w:tc>
      </w:tr>
    </w:tbl>
    <w:p w14:paraId="3B1063B8" w14:textId="77777777" w:rsidR="008423E4" w:rsidRPr="0022177D" w:rsidRDefault="008423E4" w:rsidP="00602086">
      <w:pPr>
        <w:jc w:val="center"/>
      </w:pPr>
    </w:p>
    <w:p w14:paraId="7ECE54FE" w14:textId="77777777" w:rsidR="008423E4" w:rsidRPr="00B31F0E" w:rsidRDefault="008423E4" w:rsidP="00602086"/>
    <w:p w14:paraId="4C9F9B98" w14:textId="77777777" w:rsidR="008423E4" w:rsidRPr="00742794" w:rsidRDefault="008423E4" w:rsidP="00602086">
      <w:pPr>
        <w:tabs>
          <w:tab w:val="right" w:pos="9360"/>
        </w:tabs>
      </w:pPr>
    </w:p>
    <w:tbl>
      <w:tblPr>
        <w:tblW w:w="0" w:type="auto"/>
        <w:tblLayout w:type="fixed"/>
        <w:tblLook w:val="01E0" w:firstRow="1" w:lastRow="1" w:firstColumn="1" w:lastColumn="1" w:noHBand="0" w:noVBand="0"/>
      </w:tblPr>
      <w:tblGrid>
        <w:gridCol w:w="9576"/>
      </w:tblGrid>
      <w:tr w:rsidR="00AA2D8C" w14:paraId="64EB3E04" w14:textId="77777777" w:rsidTr="00345119">
        <w:tc>
          <w:tcPr>
            <w:tcW w:w="9576" w:type="dxa"/>
          </w:tcPr>
          <w:p w14:paraId="2220F1DC" w14:textId="09D17F57" w:rsidR="008423E4" w:rsidRPr="00861995" w:rsidRDefault="004462EC" w:rsidP="00602086">
            <w:pPr>
              <w:jc w:val="right"/>
            </w:pPr>
            <w:r>
              <w:t>S.B. 1937</w:t>
            </w:r>
          </w:p>
        </w:tc>
      </w:tr>
      <w:tr w:rsidR="00AA2D8C" w14:paraId="1BE228C3" w14:textId="77777777" w:rsidTr="00345119">
        <w:tc>
          <w:tcPr>
            <w:tcW w:w="9576" w:type="dxa"/>
          </w:tcPr>
          <w:p w14:paraId="2FB70907" w14:textId="07D64A15" w:rsidR="008423E4" w:rsidRPr="00861995" w:rsidRDefault="004462EC" w:rsidP="00602086">
            <w:pPr>
              <w:jc w:val="right"/>
            </w:pPr>
            <w:r>
              <w:t xml:space="preserve">By: </w:t>
            </w:r>
            <w:r w:rsidR="00BB463D">
              <w:t>Hinojosa, Juan "Chuy"</w:t>
            </w:r>
          </w:p>
        </w:tc>
      </w:tr>
      <w:tr w:rsidR="00AA2D8C" w14:paraId="68ED7CA5" w14:textId="77777777" w:rsidTr="00345119">
        <w:tc>
          <w:tcPr>
            <w:tcW w:w="9576" w:type="dxa"/>
          </w:tcPr>
          <w:p w14:paraId="4E4284CD" w14:textId="4D820DE3" w:rsidR="008423E4" w:rsidRPr="00861995" w:rsidRDefault="004462EC" w:rsidP="00602086">
            <w:pPr>
              <w:jc w:val="right"/>
            </w:pPr>
            <w:r>
              <w:t>Criminal Jurisprudence</w:t>
            </w:r>
          </w:p>
        </w:tc>
      </w:tr>
      <w:tr w:rsidR="00AA2D8C" w14:paraId="48B0B5CA" w14:textId="77777777" w:rsidTr="00345119">
        <w:tc>
          <w:tcPr>
            <w:tcW w:w="9576" w:type="dxa"/>
          </w:tcPr>
          <w:p w14:paraId="79D3AD6A" w14:textId="1B890DB2" w:rsidR="008423E4" w:rsidRDefault="004462EC" w:rsidP="00602086">
            <w:pPr>
              <w:jc w:val="right"/>
            </w:pPr>
            <w:r>
              <w:t>Committee Report (Unamended)</w:t>
            </w:r>
          </w:p>
        </w:tc>
      </w:tr>
    </w:tbl>
    <w:p w14:paraId="3E3AF102" w14:textId="77777777" w:rsidR="008423E4" w:rsidRDefault="008423E4" w:rsidP="00602086">
      <w:pPr>
        <w:tabs>
          <w:tab w:val="right" w:pos="9360"/>
        </w:tabs>
      </w:pPr>
    </w:p>
    <w:p w14:paraId="763C9F68" w14:textId="77777777" w:rsidR="008423E4" w:rsidRDefault="008423E4" w:rsidP="00602086"/>
    <w:p w14:paraId="0EBC5624" w14:textId="77777777" w:rsidR="008423E4" w:rsidRDefault="008423E4" w:rsidP="00602086"/>
    <w:tbl>
      <w:tblPr>
        <w:tblW w:w="0" w:type="auto"/>
        <w:tblCellMar>
          <w:left w:w="115" w:type="dxa"/>
          <w:right w:w="115" w:type="dxa"/>
        </w:tblCellMar>
        <w:tblLook w:val="01E0" w:firstRow="1" w:lastRow="1" w:firstColumn="1" w:lastColumn="1" w:noHBand="0" w:noVBand="0"/>
      </w:tblPr>
      <w:tblGrid>
        <w:gridCol w:w="9360"/>
      </w:tblGrid>
      <w:tr w:rsidR="00AA2D8C" w14:paraId="11CE4F3B" w14:textId="77777777" w:rsidTr="00345119">
        <w:tc>
          <w:tcPr>
            <w:tcW w:w="9576" w:type="dxa"/>
          </w:tcPr>
          <w:p w14:paraId="6A415235" w14:textId="77777777" w:rsidR="008423E4" w:rsidRPr="00A8133F" w:rsidRDefault="004462EC" w:rsidP="00602086">
            <w:pPr>
              <w:rPr>
                <w:b/>
              </w:rPr>
            </w:pPr>
            <w:r w:rsidRPr="009C1E9A">
              <w:rPr>
                <w:b/>
                <w:u w:val="single"/>
              </w:rPr>
              <w:t>BACKGROUND AND PURPOSE</w:t>
            </w:r>
            <w:r>
              <w:rPr>
                <w:b/>
              </w:rPr>
              <w:t xml:space="preserve"> </w:t>
            </w:r>
          </w:p>
          <w:p w14:paraId="66FB9EC2" w14:textId="77777777" w:rsidR="008423E4" w:rsidRDefault="008423E4" w:rsidP="00602086"/>
          <w:p w14:paraId="5E065AB5" w14:textId="7BEB5A40" w:rsidR="008423E4" w:rsidRDefault="004462EC" w:rsidP="00602086">
            <w:pPr>
              <w:pStyle w:val="Header"/>
              <w:tabs>
                <w:tab w:val="clear" w:pos="4320"/>
                <w:tab w:val="clear" w:pos="8640"/>
              </w:tabs>
              <w:jc w:val="both"/>
            </w:pPr>
            <w:r>
              <w:t>The bill sponsor has informed the committee that, w</w:t>
            </w:r>
            <w:r w:rsidR="006F2CB7">
              <w:t xml:space="preserve">hile </w:t>
            </w:r>
            <w:r w:rsidR="00DA1221">
              <w:t>DNA</w:t>
            </w:r>
            <w:r w:rsidR="006F2CB7">
              <w:t xml:space="preserve"> testing </w:t>
            </w:r>
            <w:r w:rsidR="00214002">
              <w:t xml:space="preserve">of biological evidence </w:t>
            </w:r>
            <w:r w:rsidR="006F2CB7">
              <w:t xml:space="preserve">is conducted </w:t>
            </w:r>
            <w:r w:rsidR="00214002">
              <w:t xml:space="preserve">before a capital trial </w:t>
            </w:r>
            <w:r w:rsidR="006F2CB7">
              <w:t xml:space="preserve">at no cost to the defense, </w:t>
            </w:r>
            <w:r w:rsidR="00DA1221">
              <w:t>there is currently no explicit requirement for a</w:t>
            </w:r>
            <w:r w:rsidR="006F2CB7">
              <w:t xml:space="preserve"> subject matter expert from the laboratory performing the </w:t>
            </w:r>
            <w:r w:rsidR="00DA1221">
              <w:t xml:space="preserve">DNA </w:t>
            </w:r>
            <w:r w:rsidR="006F2CB7">
              <w:t xml:space="preserve">testing </w:t>
            </w:r>
            <w:r w:rsidR="006F27A3">
              <w:t>to provide information regarding which biological materials collected as part of the investigation should qualify as biological evidence that is required to be tested and that, a</w:t>
            </w:r>
            <w:r w:rsidR="006F2CB7">
              <w:t xml:space="preserve">s a result, evidence that is unlikely to yield a usable DNA result </w:t>
            </w:r>
            <w:r w:rsidR="006F27A3">
              <w:t>can often</w:t>
            </w:r>
            <w:r w:rsidR="006F2CB7">
              <w:t xml:space="preserve"> be submitted for testing, </w:t>
            </w:r>
            <w:r w:rsidR="006F27A3">
              <w:t xml:space="preserve">which can lead </w:t>
            </w:r>
            <w:r w:rsidR="006F2CB7">
              <w:t>to</w:t>
            </w:r>
            <w:r w:rsidR="006F27A3">
              <w:t xml:space="preserve"> the</w:t>
            </w:r>
            <w:r w:rsidR="006F2CB7">
              <w:t xml:space="preserve"> unnecessary use of limited forensic resources, increased costs, and delayed turnaround times. S</w:t>
            </w:r>
            <w:r w:rsidR="00E17B38">
              <w:t>.</w:t>
            </w:r>
            <w:r w:rsidR="006F2CB7">
              <w:t>B</w:t>
            </w:r>
            <w:r w:rsidR="00E17B38">
              <w:t>.</w:t>
            </w:r>
            <w:r w:rsidR="006F2CB7">
              <w:t xml:space="preserve"> 1937 </w:t>
            </w:r>
            <w:r w:rsidR="006F27A3">
              <w:t>seeks to</w:t>
            </w:r>
            <w:r w:rsidR="006F2CB7">
              <w:t xml:space="preserve"> </w:t>
            </w:r>
            <w:r w:rsidR="00214002">
              <w:t xml:space="preserve">ensure that </w:t>
            </w:r>
            <w:r w:rsidR="006F2CB7">
              <w:t xml:space="preserve">a subject matter expert from </w:t>
            </w:r>
            <w:r w:rsidR="00214002">
              <w:t xml:space="preserve">an </w:t>
            </w:r>
            <w:r w:rsidR="006F2CB7">
              <w:t xml:space="preserve">accredited laboratory </w:t>
            </w:r>
            <w:r w:rsidR="00214002">
              <w:t xml:space="preserve">participates in such </w:t>
            </w:r>
            <w:r w:rsidR="006F27A3">
              <w:t>DNA testing</w:t>
            </w:r>
            <w:r w:rsidR="006F2CB7">
              <w:t>.</w:t>
            </w:r>
          </w:p>
          <w:p w14:paraId="34D2B09D" w14:textId="77777777" w:rsidR="008423E4" w:rsidRPr="00E26B13" w:rsidRDefault="008423E4" w:rsidP="00602086">
            <w:pPr>
              <w:rPr>
                <w:b/>
              </w:rPr>
            </w:pPr>
          </w:p>
        </w:tc>
      </w:tr>
      <w:tr w:rsidR="00AA2D8C" w14:paraId="7C37946F" w14:textId="77777777" w:rsidTr="00345119">
        <w:tc>
          <w:tcPr>
            <w:tcW w:w="9576" w:type="dxa"/>
          </w:tcPr>
          <w:p w14:paraId="32C235E5" w14:textId="77777777" w:rsidR="0017725B" w:rsidRDefault="004462EC" w:rsidP="00602086">
            <w:pPr>
              <w:rPr>
                <w:b/>
                <w:u w:val="single"/>
              </w:rPr>
            </w:pPr>
            <w:r>
              <w:rPr>
                <w:b/>
                <w:u w:val="single"/>
              </w:rPr>
              <w:t>CRIMINAL JUSTICE IMPACT</w:t>
            </w:r>
          </w:p>
          <w:p w14:paraId="5F9A5327" w14:textId="77777777" w:rsidR="0017725B" w:rsidRDefault="0017725B" w:rsidP="00602086">
            <w:pPr>
              <w:rPr>
                <w:b/>
                <w:u w:val="single"/>
              </w:rPr>
            </w:pPr>
          </w:p>
          <w:p w14:paraId="48829B66" w14:textId="5590659B" w:rsidR="002E5988" w:rsidRPr="002E5988" w:rsidRDefault="004462EC" w:rsidP="00602086">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267BF375" w14:textId="77777777" w:rsidR="0017725B" w:rsidRPr="0017725B" w:rsidRDefault="0017725B" w:rsidP="00602086">
            <w:pPr>
              <w:rPr>
                <w:b/>
                <w:u w:val="single"/>
              </w:rPr>
            </w:pPr>
          </w:p>
        </w:tc>
      </w:tr>
      <w:tr w:rsidR="00AA2D8C" w14:paraId="39302AAC" w14:textId="77777777" w:rsidTr="00345119">
        <w:tc>
          <w:tcPr>
            <w:tcW w:w="9576" w:type="dxa"/>
          </w:tcPr>
          <w:p w14:paraId="7B466AB8" w14:textId="77777777" w:rsidR="008423E4" w:rsidRPr="00A8133F" w:rsidRDefault="004462EC" w:rsidP="00602086">
            <w:pPr>
              <w:rPr>
                <w:b/>
              </w:rPr>
            </w:pPr>
            <w:r w:rsidRPr="009C1E9A">
              <w:rPr>
                <w:b/>
                <w:u w:val="single"/>
              </w:rPr>
              <w:t>RULEMAKING AUTHORITY</w:t>
            </w:r>
            <w:r>
              <w:rPr>
                <w:b/>
              </w:rPr>
              <w:t xml:space="preserve"> </w:t>
            </w:r>
          </w:p>
          <w:p w14:paraId="5779138C" w14:textId="77777777" w:rsidR="008423E4" w:rsidRDefault="008423E4" w:rsidP="00602086"/>
          <w:p w14:paraId="2952D865" w14:textId="6A44726E" w:rsidR="002E5988" w:rsidRDefault="004462EC" w:rsidP="0060208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AE6895B" w14:textId="77777777" w:rsidR="008423E4" w:rsidRPr="00E21FDC" w:rsidRDefault="008423E4" w:rsidP="00602086">
            <w:pPr>
              <w:rPr>
                <w:b/>
              </w:rPr>
            </w:pPr>
          </w:p>
        </w:tc>
      </w:tr>
      <w:tr w:rsidR="00AA2D8C" w14:paraId="43F299AE" w14:textId="77777777" w:rsidTr="00345119">
        <w:tc>
          <w:tcPr>
            <w:tcW w:w="9576" w:type="dxa"/>
          </w:tcPr>
          <w:p w14:paraId="07E1CE52" w14:textId="77777777" w:rsidR="008423E4" w:rsidRPr="00A8133F" w:rsidRDefault="004462EC" w:rsidP="00602086">
            <w:pPr>
              <w:rPr>
                <w:b/>
              </w:rPr>
            </w:pPr>
            <w:r w:rsidRPr="009C1E9A">
              <w:rPr>
                <w:b/>
                <w:u w:val="single"/>
              </w:rPr>
              <w:t>ANALYSIS</w:t>
            </w:r>
            <w:r>
              <w:rPr>
                <w:b/>
              </w:rPr>
              <w:t xml:space="preserve"> </w:t>
            </w:r>
          </w:p>
          <w:p w14:paraId="7CB4DE5A" w14:textId="77777777" w:rsidR="008423E4" w:rsidRDefault="008423E4" w:rsidP="00602086"/>
          <w:p w14:paraId="41C3163C" w14:textId="07804AC7" w:rsidR="009C36CD" w:rsidRDefault="004462EC" w:rsidP="00602086">
            <w:pPr>
              <w:pStyle w:val="Header"/>
              <w:tabs>
                <w:tab w:val="clear" w:pos="4320"/>
                <w:tab w:val="clear" w:pos="8640"/>
              </w:tabs>
              <w:jc w:val="both"/>
            </w:pPr>
            <w:r>
              <w:t xml:space="preserve">S.B. 1937 amends the </w:t>
            </w:r>
            <w:r w:rsidRPr="000C2EE2">
              <w:t>Code of Criminal Procedure</w:t>
            </w:r>
            <w:r>
              <w:t xml:space="preserve"> to </w:t>
            </w:r>
            <w:r w:rsidR="00073ED1">
              <w:t xml:space="preserve">revise </w:t>
            </w:r>
            <w:r w:rsidR="00B825EE">
              <w:t>the requirement for</w:t>
            </w:r>
            <w:r w:rsidR="00073ED1">
              <w:t xml:space="preserve"> </w:t>
            </w:r>
            <w:r w:rsidR="00D430C9">
              <w:t>the state, b</w:t>
            </w:r>
            <w:r w:rsidR="00D430C9" w:rsidRPr="00D430C9">
              <w:t xml:space="preserve">efore a defendant is tried for a capital offense in which the state is seeking the death penalty, </w:t>
            </w:r>
            <w:r w:rsidR="00D430C9">
              <w:t>to</w:t>
            </w:r>
            <w:r w:rsidR="00D430C9" w:rsidRPr="00D430C9">
              <w:t xml:space="preserve"> require either the Department of Public Safety through one of its laboratories or a laboratory accredited </w:t>
            </w:r>
            <w:r w:rsidR="00B825EE">
              <w:t>by</w:t>
            </w:r>
            <w:r w:rsidR="00B825EE" w:rsidRPr="00D430C9">
              <w:t xml:space="preserve"> </w:t>
            </w:r>
            <w:r w:rsidR="00D430C9">
              <w:t>the Texas Forensic Science Commission</w:t>
            </w:r>
            <w:r w:rsidR="00D430C9" w:rsidRPr="00D430C9">
              <w:t xml:space="preserve"> to perform DNA testing, in accordance with the laboratory's capabilities at the time the testing is performed, on any biological evidence that was collected as part of an investigation of the offense and is in the possession of the state</w:t>
            </w:r>
            <w:r w:rsidR="00073ED1">
              <w:t xml:space="preserve"> by </w:t>
            </w:r>
            <w:r w:rsidR="00214002">
              <w:t xml:space="preserve">clarifying </w:t>
            </w:r>
            <w:r w:rsidR="00073ED1">
              <w:t xml:space="preserve">that the </w:t>
            </w:r>
            <w:r w:rsidR="00B825EE">
              <w:t>required</w:t>
            </w:r>
            <w:r w:rsidR="00073ED1">
              <w:t xml:space="preserve"> DNA testing is nuclear DNA testing. Accordingly, the bill </w:t>
            </w:r>
            <w:r w:rsidR="00B825EE">
              <w:t xml:space="preserve">also revises the requirement for the laboratory that performs the DNA testing </w:t>
            </w:r>
            <w:r w:rsidR="00B2432B">
              <w:t>to</w:t>
            </w:r>
            <w:r w:rsidR="00D430C9" w:rsidRPr="00D430C9">
              <w:t xml:space="preserve"> pay for all DNA testing performed in accordance with </w:t>
            </w:r>
            <w:r w:rsidR="00B825EE">
              <w:t xml:space="preserve">these requirements by </w:t>
            </w:r>
            <w:r w:rsidR="00214002">
              <w:t>clarifying</w:t>
            </w:r>
            <w:r w:rsidR="00B825EE">
              <w:t xml:space="preserve"> that the DNA testing performed by the laboratory is nuclear DNA testing</w:t>
            </w:r>
            <w:r w:rsidR="00D430C9" w:rsidRPr="00D430C9">
              <w:t>.</w:t>
            </w:r>
          </w:p>
          <w:p w14:paraId="253ACEB0" w14:textId="77777777" w:rsidR="00067477" w:rsidRDefault="00067477" w:rsidP="00602086">
            <w:pPr>
              <w:pStyle w:val="Header"/>
              <w:tabs>
                <w:tab w:val="clear" w:pos="4320"/>
                <w:tab w:val="clear" w:pos="8640"/>
              </w:tabs>
              <w:jc w:val="both"/>
            </w:pPr>
          </w:p>
          <w:p w14:paraId="50843B67" w14:textId="4E052C1B" w:rsidR="00AB7064" w:rsidRDefault="004462EC" w:rsidP="00602086">
            <w:pPr>
              <w:pStyle w:val="Header"/>
              <w:tabs>
                <w:tab w:val="clear" w:pos="4320"/>
                <w:tab w:val="clear" w:pos="8640"/>
              </w:tabs>
              <w:jc w:val="both"/>
            </w:pPr>
            <w:r w:rsidRPr="00067477">
              <w:t>S.B. 1937</w:t>
            </w:r>
            <w:r>
              <w:t xml:space="preserve"> </w:t>
            </w:r>
            <w:r w:rsidR="00B825EE">
              <w:t>revises the requirement for</w:t>
            </w:r>
            <w:r>
              <w:t xml:space="preserve"> the court, as </w:t>
            </w:r>
            <w:r w:rsidRPr="00067477">
              <w:t>soon as practicable after the defendant is charged with a capital offense, or on a motion by the state or the defendant in a capital case, unless the state has affirmatively waived the death penalty in writing,</w:t>
            </w:r>
            <w:r>
              <w:t xml:space="preserve"> to order </w:t>
            </w:r>
            <w:r w:rsidRPr="00067477">
              <w:t>the state</w:t>
            </w:r>
            <w:r>
              <w:t xml:space="preserve"> and the defendant </w:t>
            </w:r>
            <w:r w:rsidRPr="00067477">
              <w:t>to meet and confer about which biological materials collected as part of an investigation of the offense qualify as biological evidence that is required to be tested</w:t>
            </w:r>
            <w:r w:rsidR="00FD334D">
              <w:t xml:space="preserve"> by including a subject matter expert from the laboratory required to perform the nuclear DNA testing under the bill's provisions among the </w:t>
            </w:r>
            <w:r>
              <w:t>persons</w:t>
            </w:r>
            <w:r w:rsidR="00FD334D">
              <w:t xml:space="preserve"> that the court must order to meet and confer about such matters</w:t>
            </w:r>
            <w:r>
              <w:t xml:space="preserve">. </w:t>
            </w:r>
            <w:r w:rsidR="00201C10">
              <w:t>Accordingly, t</w:t>
            </w:r>
            <w:r w:rsidR="00F66B39">
              <w:t xml:space="preserve">he bill </w:t>
            </w:r>
            <w:r w:rsidR="00461BD9">
              <w:t xml:space="preserve">also </w:t>
            </w:r>
            <w:r>
              <w:t xml:space="preserve">does the following: </w:t>
            </w:r>
          </w:p>
          <w:p w14:paraId="53C5F6A0" w14:textId="45DEF83A" w:rsidR="00AB7064" w:rsidRDefault="004462EC" w:rsidP="00602086">
            <w:pPr>
              <w:pStyle w:val="Header"/>
              <w:numPr>
                <w:ilvl w:val="0"/>
                <w:numId w:val="1"/>
              </w:numPr>
              <w:tabs>
                <w:tab w:val="clear" w:pos="4320"/>
                <w:tab w:val="clear" w:pos="8640"/>
              </w:tabs>
              <w:jc w:val="both"/>
            </w:pPr>
            <w:r>
              <w:t xml:space="preserve">revises the provision establishing that, if the state and the defendant agree on which biological materials constitute biological evidence, the biological evidence must be tested by including the applicable subject matter expert among the persons that must agree on which biological materials constitute biological evidence for the evidence to be tested; and </w:t>
            </w:r>
          </w:p>
          <w:p w14:paraId="4CE2C20E" w14:textId="0E6F14C4" w:rsidR="00AB7064" w:rsidRDefault="004462EC" w:rsidP="00602086">
            <w:pPr>
              <w:pStyle w:val="Header"/>
              <w:numPr>
                <w:ilvl w:val="0"/>
                <w:numId w:val="1"/>
              </w:numPr>
              <w:tabs>
                <w:tab w:val="clear" w:pos="4320"/>
                <w:tab w:val="clear" w:pos="8640"/>
              </w:tabs>
              <w:jc w:val="both"/>
            </w:pPr>
            <w:r>
              <w:t xml:space="preserve">revises the provision establishing that, if the state and the defendant </w:t>
            </w:r>
            <w:r w:rsidRPr="00AB7064">
              <w:t>do not agree on which biological materials qualify as biological evidence,</w:t>
            </w:r>
            <w:r>
              <w:t xml:space="preserve"> the state or the defendant may </w:t>
            </w:r>
            <w:r w:rsidR="004204A0" w:rsidRPr="004204A0">
              <w:t>request the court to hold a hearing to determine the issue</w:t>
            </w:r>
            <w:r>
              <w:t xml:space="preserve"> by including the applicable subject matter expert </w:t>
            </w:r>
            <w:r w:rsidR="002E358F">
              <w:t xml:space="preserve">among the persons that must </w:t>
            </w:r>
            <w:r w:rsidR="006F2CB7">
              <w:t>disagree</w:t>
            </w:r>
            <w:r w:rsidR="002E358F">
              <w:t xml:space="preserve"> on which biological materials qualify as biological evidence for the state or the defendant to be authorized to make such a request. </w:t>
            </w:r>
          </w:p>
          <w:p w14:paraId="61BDF29C" w14:textId="6427730B" w:rsidR="00067477" w:rsidRDefault="004462EC" w:rsidP="00602086">
            <w:pPr>
              <w:pStyle w:val="Header"/>
              <w:tabs>
                <w:tab w:val="clear" w:pos="4320"/>
                <w:tab w:val="clear" w:pos="8640"/>
              </w:tabs>
              <w:jc w:val="both"/>
            </w:pPr>
            <w:r>
              <w:t xml:space="preserve">The bill </w:t>
            </w:r>
            <w:r w:rsidR="002E358F">
              <w:t xml:space="preserve">revises the requirement for </w:t>
            </w:r>
            <w:r>
              <w:t>the court, o</w:t>
            </w:r>
            <w:r w:rsidRPr="004204A0">
              <w:t xml:space="preserve">n receipt of a request for </w:t>
            </w:r>
            <w:r w:rsidR="002E358F">
              <w:t xml:space="preserve">such </w:t>
            </w:r>
            <w:r w:rsidRPr="004204A0">
              <w:t>a hearin</w:t>
            </w:r>
            <w:r>
              <w:t xml:space="preserve">g, to </w:t>
            </w:r>
            <w:r w:rsidRPr="004204A0">
              <w:t xml:space="preserve">set a date for the hearing and provide written notice of the hearing date to </w:t>
            </w:r>
            <w:r w:rsidR="002128D6">
              <w:t xml:space="preserve">the </w:t>
            </w:r>
            <w:r w:rsidR="002E358F">
              <w:t xml:space="preserve">state and the defendant by including the laboratory required to perform the nuclear DNA testing under the bill's provisions among the entities to whom the court must provide such written notice. </w:t>
            </w:r>
          </w:p>
          <w:p w14:paraId="071E3A71" w14:textId="77777777" w:rsidR="002E358F" w:rsidRDefault="002E358F" w:rsidP="00602086">
            <w:pPr>
              <w:pStyle w:val="Header"/>
              <w:tabs>
                <w:tab w:val="clear" w:pos="4320"/>
                <w:tab w:val="clear" w:pos="8640"/>
              </w:tabs>
              <w:jc w:val="both"/>
            </w:pPr>
          </w:p>
          <w:p w14:paraId="2C65631B" w14:textId="541B84B4" w:rsidR="002E358F" w:rsidRDefault="004462EC" w:rsidP="00602086">
            <w:pPr>
              <w:pStyle w:val="Header"/>
              <w:tabs>
                <w:tab w:val="clear" w:pos="4320"/>
                <w:tab w:val="clear" w:pos="8640"/>
              </w:tabs>
              <w:jc w:val="both"/>
            </w:pPr>
            <w:r>
              <w:t xml:space="preserve">S.B. 1937 revises the requirement for the laboratory that tested the applicable evidence, </w:t>
            </w:r>
            <w:r w:rsidR="00711F25">
              <w:t xml:space="preserve">if an </w:t>
            </w:r>
            <w:r>
              <w:t xml:space="preserve">item of biological evidence is destroyed </w:t>
            </w:r>
            <w:r w:rsidR="00267804">
              <w:t xml:space="preserve">or lost </w:t>
            </w:r>
            <w:r>
              <w:t xml:space="preserve">as a result of DNA testing, to provide to the </w:t>
            </w:r>
            <w:r w:rsidRPr="002E358F">
              <w:t>defendant any bench notes prepared by the laboratory that are related to the testing of the evidence and the results of that testing</w:t>
            </w:r>
            <w:r>
              <w:t xml:space="preserve"> by </w:t>
            </w:r>
            <w:r w:rsidR="00214002">
              <w:t>clarifying</w:t>
            </w:r>
            <w:r>
              <w:t xml:space="preserve"> that the DNA testing performed is nuclear DNA testing performed under the bill's provisions. </w:t>
            </w:r>
          </w:p>
          <w:p w14:paraId="42A6538A" w14:textId="77777777" w:rsidR="00B2432B" w:rsidRDefault="00B2432B" w:rsidP="00602086">
            <w:pPr>
              <w:pStyle w:val="Header"/>
              <w:tabs>
                <w:tab w:val="clear" w:pos="4320"/>
                <w:tab w:val="clear" w:pos="8640"/>
              </w:tabs>
              <w:jc w:val="both"/>
            </w:pPr>
          </w:p>
          <w:p w14:paraId="2647D97C" w14:textId="77777777" w:rsidR="008423E4" w:rsidRDefault="004462EC" w:rsidP="00602086">
            <w:pPr>
              <w:pStyle w:val="Header"/>
              <w:tabs>
                <w:tab w:val="clear" w:pos="4320"/>
                <w:tab w:val="clear" w:pos="8640"/>
              </w:tabs>
              <w:jc w:val="both"/>
            </w:pPr>
            <w:r w:rsidRPr="00B2432B">
              <w:t xml:space="preserve">S.B. 1937 applies to a capital case for which the indictment was filed on or after the </w:t>
            </w:r>
            <w:r>
              <w:t xml:space="preserve">bill's </w:t>
            </w:r>
            <w:r w:rsidRPr="00B2432B">
              <w:t xml:space="preserve">effective date. A capital case for which the indictment was filed before </w:t>
            </w:r>
            <w:r w:rsidR="00711F25">
              <w:t xml:space="preserve">the bill's effective </w:t>
            </w:r>
            <w:r>
              <w:t>date</w:t>
            </w:r>
            <w:r w:rsidRPr="00B2432B">
              <w:t xml:space="preserve"> is governed by the law in effect on the date the indictment was filed, and the former law is continued in effect for that purpose.</w:t>
            </w:r>
          </w:p>
          <w:p w14:paraId="7438D93B" w14:textId="2AD9CCCF" w:rsidR="00806B5A" w:rsidRPr="00B2432B" w:rsidRDefault="00806B5A" w:rsidP="00602086">
            <w:pPr>
              <w:pStyle w:val="Header"/>
              <w:tabs>
                <w:tab w:val="clear" w:pos="4320"/>
                <w:tab w:val="clear" w:pos="8640"/>
              </w:tabs>
              <w:jc w:val="both"/>
            </w:pPr>
          </w:p>
        </w:tc>
      </w:tr>
      <w:tr w:rsidR="00AA2D8C" w14:paraId="35C90B51" w14:textId="77777777" w:rsidTr="00345119">
        <w:tc>
          <w:tcPr>
            <w:tcW w:w="9576" w:type="dxa"/>
          </w:tcPr>
          <w:p w14:paraId="4CFE7BC1" w14:textId="77777777" w:rsidR="008423E4" w:rsidRPr="00A8133F" w:rsidRDefault="004462EC" w:rsidP="00602086">
            <w:pPr>
              <w:rPr>
                <w:b/>
              </w:rPr>
            </w:pPr>
            <w:r w:rsidRPr="009C1E9A">
              <w:rPr>
                <w:b/>
                <w:u w:val="single"/>
              </w:rPr>
              <w:t>EFFECTIVE DATE</w:t>
            </w:r>
            <w:r>
              <w:rPr>
                <w:b/>
              </w:rPr>
              <w:t xml:space="preserve"> </w:t>
            </w:r>
          </w:p>
          <w:p w14:paraId="59DE8942" w14:textId="77777777" w:rsidR="008423E4" w:rsidRDefault="008423E4" w:rsidP="00602086"/>
          <w:p w14:paraId="49448344" w14:textId="30591685" w:rsidR="008423E4" w:rsidRPr="003624F2" w:rsidRDefault="004462EC" w:rsidP="00602086">
            <w:pPr>
              <w:pStyle w:val="Header"/>
              <w:tabs>
                <w:tab w:val="clear" w:pos="4320"/>
                <w:tab w:val="clear" w:pos="8640"/>
              </w:tabs>
              <w:jc w:val="both"/>
            </w:pPr>
            <w:r>
              <w:t>September 1, 2025.</w:t>
            </w:r>
          </w:p>
          <w:p w14:paraId="646C9CD2" w14:textId="77777777" w:rsidR="008423E4" w:rsidRPr="00233FDB" w:rsidRDefault="008423E4" w:rsidP="00602086">
            <w:pPr>
              <w:rPr>
                <w:b/>
              </w:rPr>
            </w:pPr>
          </w:p>
        </w:tc>
      </w:tr>
    </w:tbl>
    <w:p w14:paraId="7CC3F2E5" w14:textId="77777777" w:rsidR="008423E4" w:rsidRPr="00BE0E75" w:rsidRDefault="008423E4" w:rsidP="00602086">
      <w:pPr>
        <w:jc w:val="both"/>
        <w:rPr>
          <w:rFonts w:ascii="Arial" w:hAnsi="Arial"/>
          <w:sz w:val="16"/>
          <w:szCs w:val="16"/>
        </w:rPr>
      </w:pPr>
    </w:p>
    <w:p w14:paraId="044A3E8B" w14:textId="77777777" w:rsidR="004108C3" w:rsidRPr="008423E4" w:rsidRDefault="004108C3" w:rsidP="0060208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04EF" w14:textId="77777777" w:rsidR="004462EC" w:rsidRDefault="004462EC">
      <w:r>
        <w:separator/>
      </w:r>
    </w:p>
  </w:endnote>
  <w:endnote w:type="continuationSeparator" w:id="0">
    <w:p w14:paraId="559E4A27" w14:textId="77777777" w:rsidR="004462EC" w:rsidRDefault="004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D60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A2D8C" w14:paraId="6D93E701" w14:textId="77777777" w:rsidTr="009C1E9A">
      <w:trPr>
        <w:cantSplit/>
      </w:trPr>
      <w:tc>
        <w:tcPr>
          <w:tcW w:w="0" w:type="pct"/>
        </w:tcPr>
        <w:p w14:paraId="18FDD738" w14:textId="77777777" w:rsidR="00137D90" w:rsidRDefault="00137D90" w:rsidP="009C1E9A">
          <w:pPr>
            <w:pStyle w:val="Footer"/>
            <w:tabs>
              <w:tab w:val="clear" w:pos="8640"/>
              <w:tab w:val="right" w:pos="9360"/>
            </w:tabs>
          </w:pPr>
        </w:p>
      </w:tc>
      <w:tc>
        <w:tcPr>
          <w:tcW w:w="2395" w:type="pct"/>
        </w:tcPr>
        <w:p w14:paraId="5D362E53" w14:textId="77777777" w:rsidR="00137D90" w:rsidRDefault="00137D90" w:rsidP="009C1E9A">
          <w:pPr>
            <w:pStyle w:val="Footer"/>
            <w:tabs>
              <w:tab w:val="clear" w:pos="8640"/>
              <w:tab w:val="right" w:pos="9360"/>
            </w:tabs>
          </w:pPr>
        </w:p>
        <w:p w14:paraId="029BFBB9" w14:textId="77777777" w:rsidR="001A4310" w:rsidRDefault="001A4310" w:rsidP="009C1E9A">
          <w:pPr>
            <w:pStyle w:val="Footer"/>
            <w:tabs>
              <w:tab w:val="clear" w:pos="8640"/>
              <w:tab w:val="right" w:pos="9360"/>
            </w:tabs>
          </w:pPr>
        </w:p>
        <w:p w14:paraId="3514AC51" w14:textId="77777777" w:rsidR="00137D90" w:rsidRDefault="00137D90" w:rsidP="009C1E9A">
          <w:pPr>
            <w:pStyle w:val="Footer"/>
            <w:tabs>
              <w:tab w:val="clear" w:pos="8640"/>
              <w:tab w:val="right" w:pos="9360"/>
            </w:tabs>
          </w:pPr>
        </w:p>
      </w:tc>
      <w:tc>
        <w:tcPr>
          <w:tcW w:w="2453" w:type="pct"/>
        </w:tcPr>
        <w:p w14:paraId="75237D89" w14:textId="77777777" w:rsidR="00137D90" w:rsidRDefault="00137D90" w:rsidP="009C1E9A">
          <w:pPr>
            <w:pStyle w:val="Footer"/>
            <w:tabs>
              <w:tab w:val="clear" w:pos="8640"/>
              <w:tab w:val="right" w:pos="9360"/>
            </w:tabs>
            <w:jc w:val="right"/>
          </w:pPr>
        </w:p>
      </w:tc>
    </w:tr>
    <w:tr w:rsidR="00AA2D8C" w14:paraId="12FF5F5B" w14:textId="77777777" w:rsidTr="009C1E9A">
      <w:trPr>
        <w:cantSplit/>
      </w:trPr>
      <w:tc>
        <w:tcPr>
          <w:tcW w:w="0" w:type="pct"/>
        </w:tcPr>
        <w:p w14:paraId="5E12037A" w14:textId="77777777" w:rsidR="00EC379B" w:rsidRDefault="00EC379B" w:rsidP="009C1E9A">
          <w:pPr>
            <w:pStyle w:val="Footer"/>
            <w:tabs>
              <w:tab w:val="clear" w:pos="8640"/>
              <w:tab w:val="right" w:pos="9360"/>
            </w:tabs>
          </w:pPr>
        </w:p>
      </w:tc>
      <w:tc>
        <w:tcPr>
          <w:tcW w:w="2395" w:type="pct"/>
        </w:tcPr>
        <w:p w14:paraId="741C51BC" w14:textId="72711262" w:rsidR="00EC379B" w:rsidRPr="009C1E9A" w:rsidRDefault="004462EC" w:rsidP="009C1E9A">
          <w:pPr>
            <w:pStyle w:val="Footer"/>
            <w:tabs>
              <w:tab w:val="clear" w:pos="8640"/>
              <w:tab w:val="right" w:pos="9360"/>
            </w:tabs>
            <w:rPr>
              <w:rFonts w:ascii="Shruti" w:hAnsi="Shruti"/>
              <w:sz w:val="22"/>
            </w:rPr>
          </w:pPr>
          <w:r>
            <w:rPr>
              <w:rFonts w:ascii="Shruti" w:hAnsi="Shruti"/>
              <w:sz w:val="22"/>
            </w:rPr>
            <w:t>89R 31362-D</w:t>
          </w:r>
        </w:p>
      </w:tc>
      <w:tc>
        <w:tcPr>
          <w:tcW w:w="2453" w:type="pct"/>
        </w:tcPr>
        <w:p w14:paraId="7D788125" w14:textId="2F25D23A" w:rsidR="00EC379B" w:rsidRDefault="004462EC" w:rsidP="009C1E9A">
          <w:pPr>
            <w:pStyle w:val="Footer"/>
            <w:tabs>
              <w:tab w:val="clear" w:pos="8640"/>
              <w:tab w:val="right" w:pos="9360"/>
            </w:tabs>
            <w:jc w:val="right"/>
          </w:pPr>
          <w:r>
            <w:fldChar w:fldCharType="begin"/>
          </w:r>
          <w:r>
            <w:instrText xml:space="preserve"> DOCPROPERTY  OTID  \* MERGEFORMAT </w:instrText>
          </w:r>
          <w:r>
            <w:fldChar w:fldCharType="separate"/>
          </w:r>
          <w:r w:rsidR="004B33A9">
            <w:t>25.137.219</w:t>
          </w:r>
          <w:r>
            <w:fldChar w:fldCharType="end"/>
          </w:r>
        </w:p>
      </w:tc>
    </w:tr>
    <w:tr w:rsidR="00AA2D8C" w14:paraId="7EE770BA" w14:textId="77777777" w:rsidTr="009C1E9A">
      <w:trPr>
        <w:cantSplit/>
      </w:trPr>
      <w:tc>
        <w:tcPr>
          <w:tcW w:w="0" w:type="pct"/>
        </w:tcPr>
        <w:p w14:paraId="69F9E3B9" w14:textId="77777777" w:rsidR="00EC379B" w:rsidRDefault="00EC379B" w:rsidP="009C1E9A">
          <w:pPr>
            <w:pStyle w:val="Footer"/>
            <w:tabs>
              <w:tab w:val="clear" w:pos="4320"/>
              <w:tab w:val="clear" w:pos="8640"/>
              <w:tab w:val="left" w:pos="2865"/>
            </w:tabs>
          </w:pPr>
        </w:p>
      </w:tc>
      <w:tc>
        <w:tcPr>
          <w:tcW w:w="2395" w:type="pct"/>
        </w:tcPr>
        <w:p w14:paraId="32A21CD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039BF93" w14:textId="77777777" w:rsidR="00EC379B" w:rsidRDefault="00EC379B" w:rsidP="006D504F">
          <w:pPr>
            <w:pStyle w:val="Footer"/>
            <w:rPr>
              <w:rStyle w:val="PageNumber"/>
            </w:rPr>
          </w:pPr>
        </w:p>
        <w:p w14:paraId="12771EDB" w14:textId="77777777" w:rsidR="00EC379B" w:rsidRDefault="00EC379B" w:rsidP="009C1E9A">
          <w:pPr>
            <w:pStyle w:val="Footer"/>
            <w:tabs>
              <w:tab w:val="clear" w:pos="8640"/>
              <w:tab w:val="right" w:pos="9360"/>
            </w:tabs>
            <w:jc w:val="right"/>
          </w:pPr>
        </w:p>
      </w:tc>
    </w:tr>
    <w:tr w:rsidR="00AA2D8C" w14:paraId="3B69E9EE" w14:textId="77777777" w:rsidTr="009C1E9A">
      <w:trPr>
        <w:cantSplit/>
        <w:trHeight w:val="323"/>
      </w:trPr>
      <w:tc>
        <w:tcPr>
          <w:tcW w:w="0" w:type="pct"/>
          <w:gridSpan w:val="3"/>
        </w:tcPr>
        <w:p w14:paraId="0FDC801E" w14:textId="77777777" w:rsidR="00EC379B" w:rsidRDefault="004462E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2BABC8" w14:textId="77777777" w:rsidR="00EC379B" w:rsidRDefault="00EC379B" w:rsidP="009C1E9A">
          <w:pPr>
            <w:pStyle w:val="Footer"/>
            <w:tabs>
              <w:tab w:val="clear" w:pos="8640"/>
              <w:tab w:val="right" w:pos="9360"/>
            </w:tabs>
            <w:jc w:val="center"/>
          </w:pPr>
        </w:p>
      </w:tc>
    </w:tr>
  </w:tbl>
  <w:p w14:paraId="694013D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662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C8AE" w14:textId="77777777" w:rsidR="004462EC" w:rsidRDefault="004462EC">
      <w:r>
        <w:separator/>
      </w:r>
    </w:p>
  </w:footnote>
  <w:footnote w:type="continuationSeparator" w:id="0">
    <w:p w14:paraId="2FFA33BB" w14:textId="77777777" w:rsidR="004462EC" w:rsidRDefault="0044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ED1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72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869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169BD"/>
    <w:multiLevelType w:val="hybridMultilevel"/>
    <w:tmpl w:val="90F80E90"/>
    <w:lvl w:ilvl="0" w:tplc="3BAE0766">
      <w:start w:val="1"/>
      <w:numFmt w:val="bullet"/>
      <w:lvlText w:val=""/>
      <w:lvlJc w:val="left"/>
      <w:pPr>
        <w:tabs>
          <w:tab w:val="num" w:pos="720"/>
        </w:tabs>
        <w:ind w:left="720" w:hanging="360"/>
      </w:pPr>
      <w:rPr>
        <w:rFonts w:ascii="Symbol" w:hAnsi="Symbol" w:hint="default"/>
      </w:rPr>
    </w:lvl>
    <w:lvl w:ilvl="1" w:tplc="4B8EE446" w:tentative="1">
      <w:start w:val="1"/>
      <w:numFmt w:val="bullet"/>
      <w:lvlText w:val="o"/>
      <w:lvlJc w:val="left"/>
      <w:pPr>
        <w:ind w:left="1440" w:hanging="360"/>
      </w:pPr>
      <w:rPr>
        <w:rFonts w:ascii="Courier New" w:hAnsi="Courier New" w:cs="Courier New" w:hint="default"/>
      </w:rPr>
    </w:lvl>
    <w:lvl w:ilvl="2" w:tplc="E0F0F57C" w:tentative="1">
      <w:start w:val="1"/>
      <w:numFmt w:val="bullet"/>
      <w:lvlText w:val=""/>
      <w:lvlJc w:val="left"/>
      <w:pPr>
        <w:ind w:left="2160" w:hanging="360"/>
      </w:pPr>
      <w:rPr>
        <w:rFonts w:ascii="Wingdings" w:hAnsi="Wingdings" w:hint="default"/>
      </w:rPr>
    </w:lvl>
    <w:lvl w:ilvl="3" w:tplc="3D9849BA" w:tentative="1">
      <w:start w:val="1"/>
      <w:numFmt w:val="bullet"/>
      <w:lvlText w:val=""/>
      <w:lvlJc w:val="left"/>
      <w:pPr>
        <w:ind w:left="2880" w:hanging="360"/>
      </w:pPr>
      <w:rPr>
        <w:rFonts w:ascii="Symbol" w:hAnsi="Symbol" w:hint="default"/>
      </w:rPr>
    </w:lvl>
    <w:lvl w:ilvl="4" w:tplc="F20427CE" w:tentative="1">
      <w:start w:val="1"/>
      <w:numFmt w:val="bullet"/>
      <w:lvlText w:val="o"/>
      <w:lvlJc w:val="left"/>
      <w:pPr>
        <w:ind w:left="3600" w:hanging="360"/>
      </w:pPr>
      <w:rPr>
        <w:rFonts w:ascii="Courier New" w:hAnsi="Courier New" w:cs="Courier New" w:hint="default"/>
      </w:rPr>
    </w:lvl>
    <w:lvl w:ilvl="5" w:tplc="96A007C4" w:tentative="1">
      <w:start w:val="1"/>
      <w:numFmt w:val="bullet"/>
      <w:lvlText w:val=""/>
      <w:lvlJc w:val="left"/>
      <w:pPr>
        <w:ind w:left="4320" w:hanging="360"/>
      </w:pPr>
      <w:rPr>
        <w:rFonts w:ascii="Wingdings" w:hAnsi="Wingdings" w:hint="default"/>
      </w:rPr>
    </w:lvl>
    <w:lvl w:ilvl="6" w:tplc="3000CCA4" w:tentative="1">
      <w:start w:val="1"/>
      <w:numFmt w:val="bullet"/>
      <w:lvlText w:val=""/>
      <w:lvlJc w:val="left"/>
      <w:pPr>
        <w:ind w:left="5040" w:hanging="360"/>
      </w:pPr>
      <w:rPr>
        <w:rFonts w:ascii="Symbol" w:hAnsi="Symbol" w:hint="default"/>
      </w:rPr>
    </w:lvl>
    <w:lvl w:ilvl="7" w:tplc="435EE042" w:tentative="1">
      <w:start w:val="1"/>
      <w:numFmt w:val="bullet"/>
      <w:lvlText w:val="o"/>
      <w:lvlJc w:val="left"/>
      <w:pPr>
        <w:ind w:left="5760" w:hanging="360"/>
      </w:pPr>
      <w:rPr>
        <w:rFonts w:ascii="Courier New" w:hAnsi="Courier New" w:cs="Courier New" w:hint="default"/>
      </w:rPr>
    </w:lvl>
    <w:lvl w:ilvl="8" w:tplc="085AC060" w:tentative="1">
      <w:start w:val="1"/>
      <w:numFmt w:val="bullet"/>
      <w:lvlText w:val=""/>
      <w:lvlJc w:val="left"/>
      <w:pPr>
        <w:ind w:left="6480" w:hanging="360"/>
      </w:pPr>
      <w:rPr>
        <w:rFonts w:ascii="Wingdings" w:hAnsi="Wingdings" w:hint="default"/>
      </w:rPr>
    </w:lvl>
  </w:abstractNum>
  <w:num w:numId="1" w16cid:durableId="211612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E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C59"/>
    <w:rsid w:val="000555E0"/>
    <w:rsid w:val="00055C12"/>
    <w:rsid w:val="000608B0"/>
    <w:rsid w:val="0006104C"/>
    <w:rsid w:val="00064BF2"/>
    <w:rsid w:val="000667BA"/>
    <w:rsid w:val="00067477"/>
    <w:rsid w:val="000676A7"/>
    <w:rsid w:val="00073914"/>
    <w:rsid w:val="00073ED1"/>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2EE2"/>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C10"/>
    <w:rsid w:val="0020606B"/>
    <w:rsid w:val="0020775D"/>
    <w:rsid w:val="002116DD"/>
    <w:rsid w:val="002128D6"/>
    <w:rsid w:val="0021383D"/>
    <w:rsid w:val="00214002"/>
    <w:rsid w:val="00216BBA"/>
    <w:rsid w:val="00216E12"/>
    <w:rsid w:val="00217466"/>
    <w:rsid w:val="0021751D"/>
    <w:rsid w:val="00217C49"/>
    <w:rsid w:val="0022177D"/>
    <w:rsid w:val="002242DA"/>
    <w:rsid w:val="00224C37"/>
    <w:rsid w:val="002253B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04"/>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14E"/>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58F"/>
    <w:rsid w:val="002E598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4B8"/>
    <w:rsid w:val="00363854"/>
    <w:rsid w:val="00364315"/>
    <w:rsid w:val="003643E2"/>
    <w:rsid w:val="00370155"/>
    <w:rsid w:val="003712D5"/>
    <w:rsid w:val="003747DF"/>
    <w:rsid w:val="00377E3D"/>
    <w:rsid w:val="003847E8"/>
    <w:rsid w:val="0038731D"/>
    <w:rsid w:val="0038760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3F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4A0"/>
    <w:rsid w:val="00422039"/>
    <w:rsid w:val="00423FBC"/>
    <w:rsid w:val="004241AA"/>
    <w:rsid w:val="0042422E"/>
    <w:rsid w:val="0043190E"/>
    <w:rsid w:val="004324E9"/>
    <w:rsid w:val="004350F3"/>
    <w:rsid w:val="00436980"/>
    <w:rsid w:val="00441016"/>
    <w:rsid w:val="00441F2F"/>
    <w:rsid w:val="0044228B"/>
    <w:rsid w:val="004462EC"/>
    <w:rsid w:val="00447018"/>
    <w:rsid w:val="00450561"/>
    <w:rsid w:val="00450A40"/>
    <w:rsid w:val="00451D7C"/>
    <w:rsid w:val="00452FC3"/>
    <w:rsid w:val="00454715"/>
    <w:rsid w:val="00455936"/>
    <w:rsid w:val="00455ACE"/>
    <w:rsid w:val="00461B69"/>
    <w:rsid w:val="00461BD9"/>
    <w:rsid w:val="00462B3D"/>
    <w:rsid w:val="00474927"/>
    <w:rsid w:val="00475913"/>
    <w:rsid w:val="00480080"/>
    <w:rsid w:val="004824A7"/>
    <w:rsid w:val="00483AF0"/>
    <w:rsid w:val="00484167"/>
    <w:rsid w:val="00491319"/>
    <w:rsid w:val="00492211"/>
    <w:rsid w:val="00492325"/>
    <w:rsid w:val="00492A6D"/>
    <w:rsid w:val="00494303"/>
    <w:rsid w:val="0049682B"/>
    <w:rsid w:val="004977A3"/>
    <w:rsid w:val="004A03F7"/>
    <w:rsid w:val="004A081C"/>
    <w:rsid w:val="004A123F"/>
    <w:rsid w:val="004A2172"/>
    <w:rsid w:val="004A239F"/>
    <w:rsid w:val="004A415D"/>
    <w:rsid w:val="004B138F"/>
    <w:rsid w:val="004B33A9"/>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BF2"/>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F52"/>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978"/>
    <w:rsid w:val="005D4DAE"/>
    <w:rsid w:val="005D767D"/>
    <w:rsid w:val="005D7A30"/>
    <w:rsid w:val="005D7D3B"/>
    <w:rsid w:val="005E1999"/>
    <w:rsid w:val="005E232C"/>
    <w:rsid w:val="005E25BC"/>
    <w:rsid w:val="005E2B83"/>
    <w:rsid w:val="005E4AEB"/>
    <w:rsid w:val="005E738F"/>
    <w:rsid w:val="005E788B"/>
    <w:rsid w:val="005F1519"/>
    <w:rsid w:val="005F4862"/>
    <w:rsid w:val="005F5679"/>
    <w:rsid w:val="005F5FDF"/>
    <w:rsid w:val="005F6960"/>
    <w:rsid w:val="005F7000"/>
    <w:rsid w:val="005F7AAA"/>
    <w:rsid w:val="00600BAA"/>
    <w:rsid w:val="006012DA"/>
    <w:rsid w:val="00602086"/>
    <w:rsid w:val="00603B0F"/>
    <w:rsid w:val="006049F5"/>
    <w:rsid w:val="00605F7B"/>
    <w:rsid w:val="00607E64"/>
    <w:rsid w:val="006106E9"/>
    <w:rsid w:val="0061159E"/>
    <w:rsid w:val="00614633"/>
    <w:rsid w:val="00614BC8"/>
    <w:rsid w:val="006151FB"/>
    <w:rsid w:val="00616028"/>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7A3"/>
    <w:rsid w:val="006F2CB7"/>
    <w:rsid w:val="006F365D"/>
    <w:rsid w:val="006F4BB0"/>
    <w:rsid w:val="007031BD"/>
    <w:rsid w:val="00703E80"/>
    <w:rsid w:val="00705276"/>
    <w:rsid w:val="007066A0"/>
    <w:rsid w:val="007075FB"/>
    <w:rsid w:val="0070787B"/>
    <w:rsid w:val="0071131D"/>
    <w:rsid w:val="00711E3D"/>
    <w:rsid w:val="00711E85"/>
    <w:rsid w:val="00711F2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6B5A"/>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AAD"/>
    <w:rsid w:val="008531A1"/>
    <w:rsid w:val="00853A94"/>
    <w:rsid w:val="008547A3"/>
    <w:rsid w:val="00856908"/>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7D6"/>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0719"/>
    <w:rsid w:val="0098170E"/>
    <w:rsid w:val="0098285C"/>
    <w:rsid w:val="009831A1"/>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990"/>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D8C"/>
    <w:rsid w:val="00AA597A"/>
    <w:rsid w:val="00AA66AD"/>
    <w:rsid w:val="00AA67A3"/>
    <w:rsid w:val="00AA7E52"/>
    <w:rsid w:val="00AB1655"/>
    <w:rsid w:val="00AB1873"/>
    <w:rsid w:val="00AB2C05"/>
    <w:rsid w:val="00AB3536"/>
    <w:rsid w:val="00AB474B"/>
    <w:rsid w:val="00AB5CCC"/>
    <w:rsid w:val="00AB7064"/>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24F7"/>
    <w:rsid w:val="00B233BB"/>
    <w:rsid w:val="00B2432B"/>
    <w:rsid w:val="00B25612"/>
    <w:rsid w:val="00B26437"/>
    <w:rsid w:val="00B2678E"/>
    <w:rsid w:val="00B30647"/>
    <w:rsid w:val="00B31F0E"/>
    <w:rsid w:val="00B34F25"/>
    <w:rsid w:val="00B43672"/>
    <w:rsid w:val="00B473D8"/>
    <w:rsid w:val="00B47464"/>
    <w:rsid w:val="00B5165A"/>
    <w:rsid w:val="00B524C1"/>
    <w:rsid w:val="00B52C8D"/>
    <w:rsid w:val="00B564BF"/>
    <w:rsid w:val="00B57544"/>
    <w:rsid w:val="00B6104E"/>
    <w:rsid w:val="00B610C7"/>
    <w:rsid w:val="00B62106"/>
    <w:rsid w:val="00B626A8"/>
    <w:rsid w:val="00B65695"/>
    <w:rsid w:val="00B66526"/>
    <w:rsid w:val="00B665A3"/>
    <w:rsid w:val="00B73BB4"/>
    <w:rsid w:val="00B80532"/>
    <w:rsid w:val="00B82039"/>
    <w:rsid w:val="00B82454"/>
    <w:rsid w:val="00B825EE"/>
    <w:rsid w:val="00B90097"/>
    <w:rsid w:val="00B90999"/>
    <w:rsid w:val="00B91AD7"/>
    <w:rsid w:val="00B92D23"/>
    <w:rsid w:val="00B95BC8"/>
    <w:rsid w:val="00B96E87"/>
    <w:rsid w:val="00BA146A"/>
    <w:rsid w:val="00BA32EE"/>
    <w:rsid w:val="00BB463D"/>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719"/>
    <w:rsid w:val="00C72956"/>
    <w:rsid w:val="00C73045"/>
    <w:rsid w:val="00C73212"/>
    <w:rsid w:val="00C7354A"/>
    <w:rsid w:val="00C74379"/>
    <w:rsid w:val="00C74DD8"/>
    <w:rsid w:val="00C75C5E"/>
    <w:rsid w:val="00C7669F"/>
    <w:rsid w:val="00C76DFF"/>
    <w:rsid w:val="00C80B8F"/>
    <w:rsid w:val="00C81AD6"/>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9A9"/>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E87"/>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0C9"/>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4F6"/>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221"/>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911"/>
    <w:rsid w:val="00DD0022"/>
    <w:rsid w:val="00DD073C"/>
    <w:rsid w:val="00DD128C"/>
    <w:rsid w:val="00DD1B8F"/>
    <w:rsid w:val="00DD5BCC"/>
    <w:rsid w:val="00DD7509"/>
    <w:rsid w:val="00DD79C7"/>
    <w:rsid w:val="00DD7D6E"/>
    <w:rsid w:val="00DE34B2"/>
    <w:rsid w:val="00DE49DE"/>
    <w:rsid w:val="00DE5220"/>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B38"/>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79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B39"/>
    <w:rsid w:val="00F67981"/>
    <w:rsid w:val="00F706CA"/>
    <w:rsid w:val="00F70F8D"/>
    <w:rsid w:val="00F7137E"/>
    <w:rsid w:val="00F71C5A"/>
    <w:rsid w:val="00F733A4"/>
    <w:rsid w:val="00F7758F"/>
    <w:rsid w:val="00F82811"/>
    <w:rsid w:val="00F83F8D"/>
    <w:rsid w:val="00F84153"/>
    <w:rsid w:val="00F85661"/>
    <w:rsid w:val="00F96602"/>
    <w:rsid w:val="00F9735A"/>
    <w:rsid w:val="00F97959"/>
    <w:rsid w:val="00FA32FC"/>
    <w:rsid w:val="00FA4B9E"/>
    <w:rsid w:val="00FA59FD"/>
    <w:rsid w:val="00FA5D8C"/>
    <w:rsid w:val="00FA6403"/>
    <w:rsid w:val="00FB16CD"/>
    <w:rsid w:val="00FB73AE"/>
    <w:rsid w:val="00FC29A0"/>
    <w:rsid w:val="00FC5388"/>
    <w:rsid w:val="00FC726C"/>
    <w:rsid w:val="00FD1B4B"/>
    <w:rsid w:val="00FD1B94"/>
    <w:rsid w:val="00FD334D"/>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986DE7-5C0A-427D-9566-4EAE9CF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2432B"/>
    <w:rPr>
      <w:sz w:val="16"/>
      <w:szCs w:val="16"/>
    </w:rPr>
  </w:style>
  <w:style w:type="paragraph" w:styleId="CommentText">
    <w:name w:val="annotation text"/>
    <w:basedOn w:val="Normal"/>
    <w:link w:val="CommentTextChar"/>
    <w:unhideWhenUsed/>
    <w:rsid w:val="00B2432B"/>
    <w:rPr>
      <w:sz w:val="20"/>
      <w:szCs w:val="20"/>
    </w:rPr>
  </w:style>
  <w:style w:type="character" w:customStyle="1" w:styleId="CommentTextChar">
    <w:name w:val="Comment Text Char"/>
    <w:basedOn w:val="DefaultParagraphFont"/>
    <w:link w:val="CommentText"/>
    <w:rsid w:val="00B2432B"/>
  </w:style>
  <w:style w:type="paragraph" w:styleId="CommentSubject">
    <w:name w:val="annotation subject"/>
    <w:basedOn w:val="CommentText"/>
    <w:next w:val="CommentText"/>
    <w:link w:val="CommentSubjectChar"/>
    <w:semiHidden/>
    <w:unhideWhenUsed/>
    <w:rsid w:val="00B2432B"/>
    <w:rPr>
      <w:b/>
      <w:bCs/>
    </w:rPr>
  </w:style>
  <w:style w:type="character" w:customStyle="1" w:styleId="CommentSubjectChar">
    <w:name w:val="Comment Subject Char"/>
    <w:basedOn w:val="CommentTextChar"/>
    <w:link w:val="CommentSubject"/>
    <w:semiHidden/>
    <w:rsid w:val="00B2432B"/>
    <w:rPr>
      <w:b/>
      <w:bCs/>
    </w:rPr>
  </w:style>
  <w:style w:type="paragraph" w:styleId="Revision">
    <w:name w:val="Revision"/>
    <w:hidden/>
    <w:uiPriority w:val="99"/>
    <w:semiHidden/>
    <w:rsid w:val="00B825EE"/>
    <w:rPr>
      <w:sz w:val="24"/>
      <w:szCs w:val="24"/>
    </w:rPr>
  </w:style>
  <w:style w:type="character" w:styleId="Hyperlink">
    <w:name w:val="Hyperlink"/>
    <w:basedOn w:val="DefaultParagraphFont"/>
    <w:unhideWhenUsed/>
    <w:rsid w:val="009831A1"/>
    <w:rPr>
      <w:color w:val="0000FF" w:themeColor="hyperlink"/>
      <w:u w:val="single"/>
    </w:rPr>
  </w:style>
  <w:style w:type="character" w:customStyle="1" w:styleId="UnresolvedMention1">
    <w:name w:val="Unresolved Mention1"/>
    <w:basedOn w:val="DefaultParagraphFont"/>
    <w:uiPriority w:val="99"/>
    <w:semiHidden/>
    <w:unhideWhenUsed/>
    <w:rsid w:val="0098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4201</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BA - SB01937 (Committee Report (Unamended))</vt:lpstr>
    </vt:vector>
  </TitlesOfParts>
  <Company>State of Texas</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31362</dc:subject>
  <dc:creator>State of Texas</dc:creator>
  <dc:description>SB 1937 by Hinojosa, Juan "Chuy"-(H)Criminal Jurisprudence</dc:description>
  <cp:lastModifiedBy>Damian Duarte</cp:lastModifiedBy>
  <cp:revision>2</cp:revision>
  <cp:lastPrinted>2003-11-26T17:21:00Z</cp:lastPrinted>
  <dcterms:created xsi:type="dcterms:W3CDTF">2025-05-19T14:41:00Z</dcterms:created>
  <dcterms:modified xsi:type="dcterms:W3CDTF">2025-05-19T14:41:00Z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25.137.219</vt:lpwstr>
  </property>
</Properties>
</file>