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78B1" w:rsidRDefault="004078B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FF4067E92154717AD06A960CFBCDB64"/>
          </w:placeholder>
        </w:sdtPr>
        <w:sdtContent>
          <w:r w:rsidRPr="005C2A78">
            <w:rPr>
              <w:rFonts w:cs="Times New Roman"/>
              <w:b/>
              <w:szCs w:val="24"/>
              <w:u w:val="single"/>
            </w:rPr>
            <w:t>BILL ANALYSIS</w:t>
          </w:r>
        </w:sdtContent>
      </w:sdt>
    </w:p>
    <w:p w:rsidR="004078B1" w:rsidRPr="00585C31" w:rsidRDefault="004078B1" w:rsidP="000F1DF9">
      <w:pPr>
        <w:spacing w:after="0" w:line="240" w:lineRule="auto"/>
        <w:rPr>
          <w:rFonts w:cs="Times New Roman"/>
          <w:szCs w:val="24"/>
        </w:rPr>
      </w:pPr>
    </w:p>
    <w:p w:rsidR="004078B1" w:rsidRPr="00585C31" w:rsidRDefault="004078B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078B1" w:rsidTr="000F1DF9">
        <w:tc>
          <w:tcPr>
            <w:tcW w:w="2718" w:type="dxa"/>
          </w:tcPr>
          <w:p w:rsidR="004078B1" w:rsidRPr="005C2A78" w:rsidRDefault="004078B1" w:rsidP="006D756B">
            <w:pPr>
              <w:rPr>
                <w:rFonts w:cs="Times New Roman"/>
                <w:szCs w:val="24"/>
              </w:rPr>
            </w:pPr>
            <w:sdt>
              <w:sdtPr>
                <w:rPr>
                  <w:rFonts w:cs="Times New Roman"/>
                  <w:szCs w:val="24"/>
                </w:rPr>
                <w:alias w:val="Agency Title"/>
                <w:tag w:val="AgencyTitleContentControl"/>
                <w:id w:val="1920747753"/>
                <w:lock w:val="sdtContentLocked"/>
                <w:placeholder>
                  <w:docPart w:val="DE38F31C2FAD41EAA65C47E08A53DBD6"/>
                </w:placeholder>
              </w:sdtPr>
              <w:sdtEndPr>
                <w:rPr>
                  <w:rFonts w:cstheme="minorBidi"/>
                  <w:szCs w:val="22"/>
                </w:rPr>
              </w:sdtEndPr>
              <w:sdtContent>
                <w:r>
                  <w:rPr>
                    <w:rFonts w:cs="Times New Roman"/>
                    <w:szCs w:val="24"/>
                  </w:rPr>
                  <w:t>Senate Research Center</w:t>
                </w:r>
              </w:sdtContent>
            </w:sdt>
          </w:p>
        </w:tc>
        <w:tc>
          <w:tcPr>
            <w:tcW w:w="6858" w:type="dxa"/>
          </w:tcPr>
          <w:p w:rsidR="004078B1" w:rsidRPr="00FF6471" w:rsidRDefault="004078B1" w:rsidP="000F1DF9">
            <w:pPr>
              <w:jc w:val="right"/>
              <w:rPr>
                <w:rFonts w:cs="Times New Roman"/>
                <w:szCs w:val="24"/>
              </w:rPr>
            </w:pPr>
            <w:sdt>
              <w:sdtPr>
                <w:rPr>
                  <w:rFonts w:cs="Times New Roman"/>
                  <w:szCs w:val="24"/>
                </w:rPr>
                <w:alias w:val="Bill Number"/>
                <w:tag w:val="BillNumberOne"/>
                <w:id w:val="-410784069"/>
                <w:lock w:val="sdtContentLocked"/>
                <w:placeholder>
                  <w:docPart w:val="5101E157847D46E48DA2E777967250E3"/>
                </w:placeholder>
              </w:sdtPr>
              <w:sdtContent>
                <w:r>
                  <w:rPr>
                    <w:rFonts w:cs="Times New Roman"/>
                    <w:szCs w:val="24"/>
                  </w:rPr>
                  <w:t>S.B. 1968</w:t>
                </w:r>
              </w:sdtContent>
            </w:sdt>
          </w:p>
        </w:tc>
      </w:tr>
      <w:tr w:rsidR="004078B1" w:rsidTr="000F1DF9">
        <w:sdt>
          <w:sdtPr>
            <w:rPr>
              <w:rFonts w:cs="Times New Roman"/>
              <w:szCs w:val="24"/>
            </w:rPr>
            <w:alias w:val="TLCNumber"/>
            <w:tag w:val="TLCNumber"/>
            <w:id w:val="-542600604"/>
            <w:lock w:val="sdtLocked"/>
            <w:placeholder>
              <w:docPart w:val="8C605F2C6A76492F8DDC6C138487A248"/>
            </w:placeholder>
          </w:sdtPr>
          <w:sdtContent>
            <w:tc>
              <w:tcPr>
                <w:tcW w:w="2718" w:type="dxa"/>
              </w:tcPr>
              <w:p w:rsidR="004078B1" w:rsidRPr="000F1DF9" w:rsidRDefault="004078B1" w:rsidP="00C65088">
                <w:pPr>
                  <w:rPr>
                    <w:rFonts w:cs="Times New Roman"/>
                    <w:szCs w:val="24"/>
                  </w:rPr>
                </w:pPr>
                <w:r>
                  <w:rPr>
                    <w:rFonts w:cs="Times New Roman"/>
                    <w:szCs w:val="24"/>
                  </w:rPr>
                  <w:t>89R11266 RAL-F</w:t>
                </w:r>
              </w:p>
            </w:tc>
          </w:sdtContent>
        </w:sdt>
        <w:tc>
          <w:tcPr>
            <w:tcW w:w="6858" w:type="dxa"/>
          </w:tcPr>
          <w:p w:rsidR="004078B1" w:rsidRPr="005C2A78" w:rsidRDefault="004078B1" w:rsidP="00073EDD">
            <w:pPr>
              <w:jc w:val="right"/>
              <w:rPr>
                <w:rFonts w:cs="Times New Roman"/>
                <w:szCs w:val="24"/>
              </w:rPr>
            </w:pPr>
            <w:sdt>
              <w:sdtPr>
                <w:rPr>
                  <w:rFonts w:cs="Times New Roman"/>
                  <w:szCs w:val="24"/>
                </w:rPr>
                <w:alias w:val="Author Label"/>
                <w:tag w:val="By"/>
                <w:id w:val="72399597"/>
                <w:lock w:val="sdtLocked"/>
                <w:placeholder>
                  <w:docPart w:val="0F92B8930426427CBC52C1D24D75B5A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67C0306D0B74147BA946865FBB37582"/>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AC294215CF294E82832BF2C86C1368C8"/>
                </w:placeholder>
                <w:showingPlcHdr/>
              </w:sdtPr>
              <w:sdtContent/>
            </w:sdt>
            <w:sdt>
              <w:sdtPr>
                <w:rPr>
                  <w:rFonts w:cs="Times New Roman"/>
                  <w:szCs w:val="24"/>
                </w:rPr>
                <w:alias w:val="DualSponsor"/>
                <w:tag w:val="DualSponsor"/>
                <w:id w:val="1029379812"/>
                <w:lock w:val="sdtContentLocked"/>
                <w:placeholder>
                  <w:docPart w:val="C02673D7DA7949C09F1D9664D46EB9E4"/>
                </w:placeholder>
                <w:showingPlcHdr/>
              </w:sdtPr>
              <w:sdtContent/>
            </w:sdt>
          </w:p>
        </w:tc>
      </w:tr>
      <w:tr w:rsidR="004078B1" w:rsidTr="000F1DF9">
        <w:tc>
          <w:tcPr>
            <w:tcW w:w="2718" w:type="dxa"/>
          </w:tcPr>
          <w:p w:rsidR="004078B1" w:rsidRPr="00BC7495" w:rsidRDefault="004078B1" w:rsidP="000F1DF9">
            <w:pPr>
              <w:rPr>
                <w:rFonts w:cs="Times New Roman"/>
                <w:szCs w:val="24"/>
              </w:rPr>
            </w:pPr>
          </w:p>
        </w:tc>
        <w:sdt>
          <w:sdtPr>
            <w:rPr>
              <w:rFonts w:cs="Times New Roman"/>
              <w:szCs w:val="24"/>
            </w:rPr>
            <w:alias w:val="Committee"/>
            <w:tag w:val="Committee"/>
            <w:id w:val="1914272295"/>
            <w:lock w:val="sdtContentLocked"/>
            <w:placeholder>
              <w:docPart w:val="937919197FC44793A1208F555EBB6E76"/>
            </w:placeholder>
          </w:sdtPr>
          <w:sdtContent>
            <w:tc>
              <w:tcPr>
                <w:tcW w:w="6858" w:type="dxa"/>
              </w:tcPr>
              <w:p w:rsidR="004078B1" w:rsidRPr="00FF6471" w:rsidRDefault="004078B1" w:rsidP="000F1DF9">
                <w:pPr>
                  <w:jc w:val="right"/>
                  <w:rPr>
                    <w:rFonts w:cs="Times New Roman"/>
                    <w:szCs w:val="24"/>
                  </w:rPr>
                </w:pPr>
                <w:r>
                  <w:rPr>
                    <w:rFonts w:cs="Times New Roman"/>
                    <w:szCs w:val="24"/>
                  </w:rPr>
                  <w:t>Business &amp; Commerce</w:t>
                </w:r>
              </w:p>
            </w:tc>
          </w:sdtContent>
        </w:sdt>
      </w:tr>
      <w:tr w:rsidR="004078B1" w:rsidTr="000F1DF9">
        <w:tc>
          <w:tcPr>
            <w:tcW w:w="2718" w:type="dxa"/>
          </w:tcPr>
          <w:p w:rsidR="004078B1" w:rsidRPr="00BC7495" w:rsidRDefault="004078B1" w:rsidP="000F1DF9">
            <w:pPr>
              <w:rPr>
                <w:rFonts w:cs="Times New Roman"/>
                <w:szCs w:val="24"/>
              </w:rPr>
            </w:pPr>
          </w:p>
        </w:tc>
        <w:sdt>
          <w:sdtPr>
            <w:rPr>
              <w:rFonts w:cs="Times New Roman"/>
              <w:szCs w:val="24"/>
            </w:rPr>
            <w:alias w:val="Date"/>
            <w:tag w:val="DateContentControl"/>
            <w:id w:val="1178081906"/>
            <w:lock w:val="sdtLocked"/>
            <w:placeholder>
              <w:docPart w:val="661555AC4876403AB40E75191847C515"/>
            </w:placeholder>
            <w:date w:fullDate="2025-03-31T00:00:00Z">
              <w:dateFormat w:val="M/d/yyyy"/>
              <w:lid w:val="en-US"/>
              <w:storeMappedDataAs w:val="dateTime"/>
              <w:calendar w:val="gregorian"/>
            </w:date>
          </w:sdtPr>
          <w:sdtContent>
            <w:tc>
              <w:tcPr>
                <w:tcW w:w="6858" w:type="dxa"/>
              </w:tcPr>
              <w:p w:rsidR="004078B1" w:rsidRPr="00FF6471" w:rsidRDefault="004078B1" w:rsidP="000F1DF9">
                <w:pPr>
                  <w:jc w:val="right"/>
                  <w:rPr>
                    <w:rFonts w:cs="Times New Roman"/>
                    <w:szCs w:val="24"/>
                  </w:rPr>
                </w:pPr>
                <w:r>
                  <w:rPr>
                    <w:rFonts w:cs="Times New Roman"/>
                    <w:szCs w:val="24"/>
                  </w:rPr>
                  <w:t>3/31/2025</w:t>
                </w:r>
              </w:p>
            </w:tc>
          </w:sdtContent>
        </w:sdt>
      </w:tr>
      <w:tr w:rsidR="004078B1" w:rsidTr="000F1DF9">
        <w:tc>
          <w:tcPr>
            <w:tcW w:w="2718" w:type="dxa"/>
          </w:tcPr>
          <w:p w:rsidR="004078B1" w:rsidRPr="00BC7495" w:rsidRDefault="004078B1" w:rsidP="000F1DF9">
            <w:pPr>
              <w:rPr>
                <w:rFonts w:cs="Times New Roman"/>
                <w:szCs w:val="24"/>
              </w:rPr>
            </w:pPr>
          </w:p>
        </w:tc>
        <w:sdt>
          <w:sdtPr>
            <w:rPr>
              <w:rFonts w:cs="Times New Roman"/>
              <w:szCs w:val="24"/>
            </w:rPr>
            <w:alias w:val="BA Version"/>
            <w:tag w:val="BAVersion"/>
            <w:id w:val="-1685590809"/>
            <w:lock w:val="sdtContentLocked"/>
            <w:placeholder>
              <w:docPart w:val="3B13AA962D42415CBBD667ECCC81136B"/>
            </w:placeholder>
          </w:sdtPr>
          <w:sdtContent>
            <w:tc>
              <w:tcPr>
                <w:tcW w:w="6858" w:type="dxa"/>
              </w:tcPr>
              <w:p w:rsidR="004078B1" w:rsidRPr="00FF6471" w:rsidRDefault="004078B1" w:rsidP="000F1DF9">
                <w:pPr>
                  <w:jc w:val="right"/>
                  <w:rPr>
                    <w:rFonts w:cs="Times New Roman"/>
                    <w:szCs w:val="24"/>
                  </w:rPr>
                </w:pPr>
                <w:r>
                  <w:rPr>
                    <w:rFonts w:cs="Times New Roman"/>
                    <w:szCs w:val="24"/>
                  </w:rPr>
                  <w:t>As Filed</w:t>
                </w:r>
              </w:p>
            </w:tc>
          </w:sdtContent>
        </w:sdt>
      </w:tr>
    </w:tbl>
    <w:p w:rsidR="004078B1" w:rsidRPr="00FF6471" w:rsidRDefault="004078B1" w:rsidP="000F1DF9">
      <w:pPr>
        <w:spacing w:after="0" w:line="240" w:lineRule="auto"/>
        <w:rPr>
          <w:rFonts w:cs="Times New Roman"/>
          <w:szCs w:val="24"/>
        </w:rPr>
      </w:pPr>
    </w:p>
    <w:p w:rsidR="004078B1" w:rsidRPr="00FF6471" w:rsidRDefault="004078B1" w:rsidP="000F1DF9">
      <w:pPr>
        <w:spacing w:after="0" w:line="240" w:lineRule="auto"/>
        <w:rPr>
          <w:rFonts w:cs="Times New Roman"/>
          <w:szCs w:val="24"/>
        </w:rPr>
      </w:pPr>
    </w:p>
    <w:p w:rsidR="004078B1" w:rsidRPr="00FF6471" w:rsidRDefault="004078B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73A9FA0DFD842C8929A44C17877D091"/>
        </w:placeholder>
      </w:sdtPr>
      <w:sdtContent>
        <w:p w:rsidR="004078B1" w:rsidRDefault="004078B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52112049A254D30BDFC2C03DDF3457E"/>
        </w:placeholder>
      </w:sdtPr>
      <w:sdtEndPr>
        <w:rPr>
          <w:rFonts w:cs="Times New Roman"/>
          <w:szCs w:val="24"/>
        </w:rPr>
      </w:sdtEndPr>
      <w:sdtContent>
        <w:p w:rsidR="004078B1" w:rsidRDefault="004078B1" w:rsidP="004078B1">
          <w:pPr>
            <w:pStyle w:val="NormalWeb"/>
            <w:spacing w:before="0" w:beforeAutospacing="0" w:after="0" w:afterAutospacing="0"/>
            <w:jc w:val="both"/>
            <w:divId w:val="988292821"/>
            <w:rPr>
              <w:rFonts w:eastAsia="Times New Roman"/>
              <w:bCs/>
            </w:rPr>
          </w:pPr>
        </w:p>
        <w:p w:rsidR="004078B1" w:rsidRPr="00B50778" w:rsidRDefault="004078B1" w:rsidP="004078B1">
          <w:pPr>
            <w:pStyle w:val="NormalWeb"/>
            <w:spacing w:before="0" w:beforeAutospacing="0" w:after="0" w:afterAutospacing="0"/>
            <w:jc w:val="both"/>
            <w:divId w:val="988292821"/>
          </w:pPr>
          <w:r w:rsidRPr="00B50778">
            <w:t>In 2023, a class action lawsuit brought against the National Association of Realtors and several large real estate brokerages highlighted an opportunity for increased transparency between real estate brokers and prospective buyers. S</w:t>
          </w:r>
          <w:r>
            <w:t>.</w:t>
          </w:r>
          <w:r w:rsidRPr="00B50778">
            <w:t>B</w:t>
          </w:r>
          <w:r>
            <w:t>.</w:t>
          </w:r>
          <w:r w:rsidRPr="00B50778">
            <w:t xml:space="preserve"> 1968 seeks to elucidate the real estate transaction process through three main provisions.</w:t>
          </w:r>
        </w:p>
        <w:p w:rsidR="004078B1" w:rsidRPr="00B50778" w:rsidRDefault="004078B1" w:rsidP="004078B1">
          <w:pPr>
            <w:pStyle w:val="NormalWeb"/>
            <w:spacing w:before="0" w:beforeAutospacing="0" w:after="0" w:afterAutospacing="0"/>
            <w:jc w:val="both"/>
            <w:divId w:val="988292821"/>
          </w:pPr>
          <w:r w:rsidRPr="00B50778">
            <w:t> </w:t>
          </w:r>
        </w:p>
        <w:p w:rsidR="004078B1" w:rsidRPr="00B50778" w:rsidRDefault="004078B1" w:rsidP="004078B1">
          <w:pPr>
            <w:pStyle w:val="NormalWeb"/>
            <w:spacing w:before="0" w:beforeAutospacing="0" w:after="0" w:afterAutospacing="0"/>
            <w:jc w:val="both"/>
            <w:divId w:val="988292821"/>
          </w:pPr>
          <w:r w:rsidRPr="00B50778">
            <w:t>First, S</w:t>
          </w:r>
          <w:r>
            <w:t>.</w:t>
          </w:r>
          <w:r w:rsidRPr="00B50778">
            <w:t>B</w:t>
          </w:r>
          <w:r>
            <w:t>.</w:t>
          </w:r>
          <w:r w:rsidRPr="00B50778">
            <w:t xml:space="preserve"> 1968 repeals imbalances created through subagency. Currently, subagency is the default relationship between an agent, with the fiduciary responsibility only shifting once a buyer</w:t>
          </w:r>
          <w:r>
            <w:t>'</w:t>
          </w:r>
          <w:r w:rsidRPr="00B50778">
            <w:t>s representation agreement is created, either orally or verbally, between a broker and prospective buyer. </w:t>
          </w:r>
        </w:p>
        <w:p w:rsidR="004078B1" w:rsidRPr="00B50778" w:rsidRDefault="004078B1" w:rsidP="004078B1">
          <w:pPr>
            <w:pStyle w:val="NormalWeb"/>
            <w:spacing w:before="0" w:beforeAutospacing="0" w:after="0" w:afterAutospacing="0"/>
            <w:jc w:val="both"/>
            <w:divId w:val="988292821"/>
          </w:pPr>
          <w:r w:rsidRPr="00B50778">
            <w:t> </w:t>
          </w:r>
        </w:p>
        <w:p w:rsidR="004078B1" w:rsidRPr="00B50778" w:rsidRDefault="004078B1" w:rsidP="004078B1">
          <w:pPr>
            <w:pStyle w:val="NormalWeb"/>
            <w:spacing w:before="0" w:beforeAutospacing="0" w:after="0" w:afterAutospacing="0"/>
            <w:jc w:val="both"/>
            <w:divId w:val="988292821"/>
          </w:pPr>
          <w:r w:rsidRPr="00B50778">
            <w:t>Second, S</w:t>
          </w:r>
          <w:r>
            <w:t>.</w:t>
          </w:r>
          <w:r w:rsidRPr="00B50778">
            <w:t>B</w:t>
          </w:r>
          <w:r>
            <w:t>.</w:t>
          </w:r>
          <w:r w:rsidRPr="00B50778">
            <w:t xml:space="preserve"> 1968 clarifies the relationship between a broker and buyer in the period prior to a buyer-representation agreement being created. The bill permits a broker to show real property without representing the party if certain conditions are met and reaffirms current requirements that the broker disclose if they represent the seller and provide the required disclosure form from the Texas Real Estate Commission (TREC). </w:t>
          </w:r>
        </w:p>
        <w:p w:rsidR="004078B1" w:rsidRPr="00B50778" w:rsidRDefault="004078B1" w:rsidP="004078B1">
          <w:pPr>
            <w:pStyle w:val="NormalWeb"/>
            <w:spacing w:before="0" w:beforeAutospacing="0" w:after="0" w:afterAutospacing="0"/>
            <w:jc w:val="both"/>
            <w:divId w:val="988292821"/>
          </w:pPr>
          <w:r w:rsidRPr="00B50778">
            <w:t> </w:t>
          </w:r>
        </w:p>
        <w:p w:rsidR="004078B1" w:rsidRPr="00B50778" w:rsidRDefault="004078B1" w:rsidP="004078B1">
          <w:pPr>
            <w:pStyle w:val="NormalWeb"/>
            <w:spacing w:before="0" w:beforeAutospacing="0" w:after="0" w:afterAutospacing="0"/>
            <w:jc w:val="both"/>
            <w:divId w:val="988292821"/>
          </w:pPr>
          <w:r w:rsidRPr="00B50778">
            <w:t>Third, S</w:t>
          </w:r>
          <w:r>
            <w:t>.</w:t>
          </w:r>
          <w:r w:rsidRPr="00B50778">
            <w:t>B</w:t>
          </w:r>
          <w:r>
            <w:t>.</w:t>
          </w:r>
          <w:r w:rsidRPr="00B50778">
            <w:t xml:space="preserve"> 1968 requires a license holder who performs any act of real estate brokerage to enter into a written agreement with the buyer prior to showing any residential property or, if no property will be shown to the buyer, prior to making an offer to purchase property on behalf of the buyer. The written agreement mandated by this bill is not a buyer-representation agreement, but can be if the broker and the client so chooses. Its purpose is to provide transparency to the buyer regarding their relationship with the agent and of the costs they expect to incur during the course of the transaction.</w:t>
          </w:r>
        </w:p>
        <w:p w:rsidR="004078B1" w:rsidRPr="00B50778" w:rsidRDefault="004078B1" w:rsidP="004078B1">
          <w:pPr>
            <w:pStyle w:val="NormalWeb"/>
            <w:spacing w:before="0" w:beforeAutospacing="0" w:after="0" w:afterAutospacing="0"/>
            <w:jc w:val="both"/>
            <w:divId w:val="988292821"/>
          </w:pPr>
          <w:r w:rsidRPr="00B50778">
            <w:t> </w:t>
          </w:r>
        </w:p>
        <w:p w:rsidR="004078B1" w:rsidRDefault="004078B1" w:rsidP="004078B1">
          <w:pPr>
            <w:pStyle w:val="NormalWeb"/>
            <w:spacing w:before="0" w:beforeAutospacing="0" w:after="0" w:afterAutospacing="0"/>
            <w:jc w:val="both"/>
            <w:divId w:val="988292821"/>
          </w:pPr>
          <w:r w:rsidRPr="00B50778">
            <w:t>Additionally, S</w:t>
          </w:r>
          <w:r>
            <w:t>.</w:t>
          </w:r>
          <w:r w:rsidRPr="00B50778">
            <w:t>B</w:t>
          </w:r>
          <w:r>
            <w:t>.</w:t>
          </w:r>
          <w:r w:rsidRPr="00B50778">
            <w:t xml:space="preserve"> 1968 includes minor amendments to the Occupations Code related to the operations of</w:t>
          </w:r>
          <w:r>
            <w:t xml:space="preserve"> </w:t>
          </w:r>
          <w:r w:rsidRPr="00B50778">
            <w:t>TREC. </w:t>
          </w:r>
        </w:p>
        <w:p w:rsidR="004078B1" w:rsidRPr="004078B1" w:rsidRDefault="004078B1" w:rsidP="004078B1">
          <w:pPr>
            <w:pStyle w:val="NormalWeb"/>
            <w:spacing w:before="0" w:beforeAutospacing="0" w:after="0" w:afterAutospacing="0"/>
            <w:jc w:val="both"/>
            <w:divId w:val="988292821"/>
          </w:pPr>
        </w:p>
      </w:sdtContent>
    </w:sdt>
    <w:p w:rsidR="004078B1" w:rsidRDefault="004078B1" w:rsidP="00B9667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1968 </w:t>
      </w:r>
      <w:bookmarkStart w:id="1" w:name="AmendsCurrentLaw"/>
      <w:bookmarkEnd w:id="1"/>
      <w:r>
        <w:rPr>
          <w:rFonts w:cs="Times New Roman"/>
          <w:szCs w:val="24"/>
        </w:rPr>
        <w:t>amends current law relating to the licensing and regulation of certain real estate professionals by the Texas Real Es</w:t>
      </w:r>
      <w:r w:rsidRPr="00E07D7F">
        <w:rPr>
          <w:rFonts w:cs="Times New Roman"/>
          <w:szCs w:val="24"/>
        </w:rPr>
        <w:t>tate Commission.</w:t>
      </w:r>
    </w:p>
    <w:p w:rsidR="004078B1" w:rsidRPr="00E07D7F" w:rsidRDefault="004078B1" w:rsidP="00B9667E">
      <w:pPr>
        <w:spacing w:after="0" w:line="240" w:lineRule="auto"/>
        <w:jc w:val="both"/>
        <w:rPr>
          <w:rFonts w:eastAsia="Times New Roman" w:cs="Times New Roman"/>
          <w:szCs w:val="24"/>
        </w:rPr>
      </w:pPr>
    </w:p>
    <w:p w:rsidR="004078B1" w:rsidRPr="005C2A78" w:rsidRDefault="004078B1" w:rsidP="00B9667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2AB9175BD924564B25EFB7BDA71D8DE"/>
          </w:placeholder>
        </w:sdtPr>
        <w:sdtContent>
          <w:r>
            <w:rPr>
              <w:rFonts w:eastAsia="Times New Roman" w:cs="Times New Roman"/>
              <w:b/>
              <w:szCs w:val="24"/>
              <w:u w:val="single"/>
            </w:rPr>
            <w:t>RULEMAKING AUTHORITY</w:t>
          </w:r>
        </w:sdtContent>
      </w:sdt>
    </w:p>
    <w:p w:rsidR="004078B1" w:rsidRPr="006529C4" w:rsidRDefault="004078B1" w:rsidP="00B9667E">
      <w:pPr>
        <w:spacing w:after="0" w:line="240" w:lineRule="auto"/>
        <w:jc w:val="both"/>
        <w:rPr>
          <w:rFonts w:cs="Times New Roman"/>
          <w:szCs w:val="24"/>
        </w:rPr>
      </w:pPr>
    </w:p>
    <w:p w:rsidR="004078B1" w:rsidRPr="006529C4" w:rsidRDefault="004078B1" w:rsidP="00B9667E">
      <w:pPr>
        <w:spacing w:after="0" w:line="240" w:lineRule="auto"/>
        <w:jc w:val="both"/>
        <w:rPr>
          <w:rFonts w:cs="Times New Roman"/>
          <w:szCs w:val="24"/>
        </w:rPr>
      </w:pPr>
      <w:r>
        <w:rPr>
          <w:rFonts w:cs="Times New Roman"/>
          <w:szCs w:val="24"/>
        </w:rPr>
        <w:t>Rulemaking authority is expressly granted to the Texas Real Estate Commission in SECTION 3 (Section 1101.204, Occupations Code) of this bill.</w:t>
      </w:r>
    </w:p>
    <w:p w:rsidR="004078B1" w:rsidRDefault="004078B1" w:rsidP="00B9667E">
      <w:pPr>
        <w:spacing w:after="0" w:line="240" w:lineRule="auto"/>
        <w:jc w:val="both"/>
        <w:rPr>
          <w:rFonts w:cs="Times New Roman"/>
          <w:szCs w:val="24"/>
        </w:rPr>
      </w:pPr>
    </w:p>
    <w:p w:rsidR="004078B1" w:rsidRDefault="004078B1" w:rsidP="00B9667E">
      <w:pPr>
        <w:spacing w:after="0" w:line="240" w:lineRule="auto"/>
        <w:jc w:val="both"/>
        <w:rPr>
          <w:rFonts w:cs="Times New Roman"/>
          <w:szCs w:val="24"/>
        </w:rPr>
      </w:pPr>
      <w:r>
        <w:rPr>
          <w:rFonts w:cs="Times New Roman"/>
          <w:szCs w:val="24"/>
        </w:rPr>
        <w:t>Rulemaking authority previously granted to the Texas Real Estate Commission is modified in SECTION 6 (Section 1101.458, Occupations Code) of this bill.</w:t>
      </w:r>
    </w:p>
    <w:p w:rsidR="004078B1" w:rsidRPr="006529C4" w:rsidRDefault="004078B1" w:rsidP="00B9667E">
      <w:pPr>
        <w:spacing w:after="0" w:line="240" w:lineRule="auto"/>
        <w:jc w:val="both"/>
        <w:rPr>
          <w:rFonts w:cs="Times New Roman"/>
          <w:szCs w:val="24"/>
        </w:rPr>
      </w:pPr>
    </w:p>
    <w:p w:rsidR="004078B1" w:rsidRPr="005C2A78" w:rsidRDefault="004078B1" w:rsidP="00B9667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C58219FFF894CA0B3CC458312DE045A"/>
          </w:placeholder>
        </w:sdtPr>
        <w:sdtContent>
          <w:r>
            <w:rPr>
              <w:rFonts w:eastAsia="Times New Roman" w:cs="Times New Roman"/>
              <w:b/>
              <w:szCs w:val="24"/>
              <w:u w:val="single"/>
            </w:rPr>
            <w:t>SECTION BY SECTION ANALYSIS</w:t>
          </w:r>
        </w:sdtContent>
      </w:sdt>
    </w:p>
    <w:p w:rsidR="004078B1" w:rsidRPr="005C2A78" w:rsidRDefault="004078B1" w:rsidP="00B9667E">
      <w:pPr>
        <w:spacing w:after="0" w:line="240" w:lineRule="auto"/>
        <w:jc w:val="both"/>
        <w:rPr>
          <w:rFonts w:eastAsia="Times New Roman" w:cs="Times New Roman"/>
          <w:szCs w:val="24"/>
        </w:rPr>
      </w:pPr>
    </w:p>
    <w:p w:rsidR="004078B1" w:rsidRPr="005C2A78" w:rsidRDefault="004078B1" w:rsidP="00B9667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1101.003(a), Occupations Code, to redefine "qualifying real estate courses."</w:t>
      </w:r>
    </w:p>
    <w:p w:rsidR="004078B1" w:rsidRPr="005C2A78"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1101.161, Occupations Code, as follows:</w:t>
      </w:r>
    </w:p>
    <w:p w:rsidR="004078B1" w:rsidRDefault="004078B1" w:rsidP="00B9667E">
      <w:pPr>
        <w:spacing w:after="0" w:line="240" w:lineRule="auto"/>
        <w:jc w:val="both"/>
        <w:rPr>
          <w:rFonts w:eastAsia="Times New Roman" w:cs="Times New Roman"/>
          <w:szCs w:val="24"/>
        </w:rPr>
      </w:pPr>
    </w:p>
    <w:p w:rsidR="004078B1" w:rsidRPr="005C2A78" w:rsidRDefault="004078B1" w:rsidP="00B9667E">
      <w:pPr>
        <w:spacing w:after="0" w:line="240" w:lineRule="auto"/>
        <w:ind w:left="720"/>
        <w:jc w:val="both"/>
        <w:rPr>
          <w:rFonts w:eastAsia="Times New Roman" w:cs="Times New Roman"/>
          <w:szCs w:val="24"/>
        </w:rPr>
      </w:pPr>
      <w:r>
        <w:rPr>
          <w:rFonts w:eastAsia="Times New Roman" w:cs="Times New Roman"/>
          <w:szCs w:val="24"/>
        </w:rPr>
        <w:t>Sec. 1101.161. GIFTS, GRANTS, AND DONATIONS. Deletes existing text au</w:t>
      </w:r>
      <w:r w:rsidRPr="00E07D7F">
        <w:rPr>
          <w:rFonts w:eastAsia="Times New Roman" w:cs="Times New Roman"/>
          <w:szCs w:val="24"/>
        </w:rPr>
        <w:t>thorizing the Texas Real Estate Commission (TREC) t</w:t>
      </w:r>
      <w:r>
        <w:rPr>
          <w:rFonts w:eastAsia="Times New Roman" w:cs="Times New Roman"/>
          <w:szCs w:val="24"/>
        </w:rPr>
        <w:t xml:space="preserve">o solicit and </w:t>
      </w:r>
      <w:r w:rsidRPr="00E07D7F">
        <w:rPr>
          <w:rFonts w:eastAsia="Times New Roman" w:cs="Times New Roman"/>
          <w:szCs w:val="24"/>
        </w:rPr>
        <w:t>accept a gift, grant, donation, or other item of value from any source to pay for any activity under</w:t>
      </w:r>
      <w:r>
        <w:rPr>
          <w:rFonts w:eastAsia="Times New Roman" w:cs="Times New Roman"/>
          <w:szCs w:val="24"/>
        </w:rPr>
        <w:t xml:space="preserve"> Chapter </w:t>
      </w:r>
      <w:r w:rsidRPr="00E07D7F">
        <w:rPr>
          <w:rFonts w:eastAsia="Times New Roman" w:cs="Times New Roman"/>
          <w:szCs w:val="24"/>
        </w:rPr>
        <w:t>1303</w:t>
      </w:r>
      <w:r>
        <w:rPr>
          <w:rFonts w:eastAsia="Times New Roman" w:cs="Times New Roman"/>
          <w:szCs w:val="24"/>
        </w:rPr>
        <w:t xml:space="preserve"> (Residential Service Companies)</w:t>
      </w:r>
      <w:r w:rsidRPr="00E07D7F">
        <w:rPr>
          <w:rFonts w:eastAsia="Times New Roman" w:cs="Times New Roman"/>
          <w:szCs w:val="24"/>
        </w:rPr>
        <w:t xml:space="preserve"> of th</w:t>
      </w:r>
      <w:r>
        <w:rPr>
          <w:rFonts w:eastAsia="Times New Roman" w:cs="Times New Roman"/>
          <w:szCs w:val="24"/>
        </w:rPr>
        <w:t>e Occupations Code</w:t>
      </w:r>
      <w:r w:rsidRPr="00E07D7F">
        <w:rPr>
          <w:rFonts w:eastAsia="Times New Roman" w:cs="Times New Roman"/>
          <w:szCs w:val="24"/>
        </w:rPr>
        <w:t>. Makes a nonsub</w:t>
      </w:r>
      <w:r>
        <w:rPr>
          <w:rFonts w:eastAsia="Times New Roman" w:cs="Times New Roman"/>
          <w:szCs w:val="24"/>
        </w:rPr>
        <w:t xml:space="preserve">stantive change. </w:t>
      </w:r>
    </w:p>
    <w:p w:rsidR="004078B1" w:rsidRPr="005C2A78"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1101.204, Occupations Code, by adding Subsection (d-1), as follows:</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(d-1) Authorizes </w:t>
      </w:r>
      <w:r w:rsidRPr="00E07D7F">
        <w:rPr>
          <w:rFonts w:eastAsia="Times New Roman" w:cs="Times New Roman"/>
          <w:szCs w:val="24"/>
        </w:rPr>
        <w:t>TREC</w:t>
      </w:r>
      <w:r>
        <w:rPr>
          <w:rFonts w:eastAsia="Times New Roman" w:cs="Times New Roman"/>
          <w:szCs w:val="24"/>
        </w:rPr>
        <w:t xml:space="preserve">, </w:t>
      </w:r>
      <w:r w:rsidRPr="00E07D7F">
        <w:rPr>
          <w:rFonts w:eastAsia="Times New Roman" w:cs="Times New Roman"/>
          <w:szCs w:val="24"/>
        </w:rPr>
        <w:t>notwithstanding Section 1101.2051 (Confidentiality of Investigation Material), to provid</w:t>
      </w:r>
      <w:r>
        <w:rPr>
          <w:rFonts w:eastAsia="Times New Roman" w:cs="Times New Roman"/>
          <w:szCs w:val="24"/>
        </w:rPr>
        <w:t xml:space="preserve">e a written notice of an investigation to a person licensed under Chapter 1101 (Real Estate Brokers and Sales Agents) or </w:t>
      </w:r>
      <w:r w:rsidRPr="00E07D7F">
        <w:rPr>
          <w:rFonts w:eastAsia="Times New Roman" w:cs="Times New Roman"/>
          <w:szCs w:val="24"/>
        </w:rPr>
        <w:t>Chapter 1102 (Real Estate Inspectors) an</w:t>
      </w:r>
      <w:r>
        <w:rPr>
          <w:rFonts w:eastAsia="Times New Roman" w:cs="Times New Roman"/>
          <w:szCs w:val="24"/>
        </w:rPr>
        <w:t xml:space="preserve">d who is associated with the license holder who is the subject of the investigation. Requires </w:t>
      </w:r>
      <w:r w:rsidRPr="00E07D7F">
        <w:rPr>
          <w:rFonts w:eastAsia="Times New Roman" w:cs="Times New Roman"/>
          <w:szCs w:val="24"/>
        </w:rPr>
        <w:t>TREC</w:t>
      </w:r>
      <w:r>
        <w:rPr>
          <w:rFonts w:eastAsia="Times New Roman" w:cs="Times New Roman"/>
          <w:szCs w:val="24"/>
        </w:rPr>
        <w:t xml:space="preserve"> to adopt rules to specify the persons who are authorized to receive notice under this subsection.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4. Amends Section 1101.356(a), Occupations Code, to require an applicant for a broker license to provide to </w:t>
      </w:r>
      <w:r w:rsidRPr="00E07D7F">
        <w:rPr>
          <w:rFonts w:eastAsia="Times New Roman" w:cs="Times New Roman"/>
          <w:szCs w:val="24"/>
        </w:rPr>
        <w:t>TREC</w:t>
      </w:r>
      <w:r>
        <w:rPr>
          <w:rFonts w:eastAsia="Times New Roman" w:cs="Times New Roman"/>
          <w:szCs w:val="24"/>
        </w:rPr>
        <w:t xml:space="preserve"> satisfactory evidence that the applicant satisfies certain </w:t>
      </w:r>
      <w:r w:rsidRPr="00E07D7F">
        <w:rPr>
          <w:rFonts w:eastAsia="Times New Roman" w:cs="Times New Roman"/>
          <w:szCs w:val="24"/>
        </w:rPr>
        <w:t>criteria, including having attended the broker responsibility course approved by TREC under Section 1101.458 (Additional Education Requirements for Certain License Holders</w:t>
      </w:r>
      <w:r>
        <w:rPr>
          <w:rFonts w:eastAsia="Times New Roman" w:cs="Times New Roman"/>
          <w:szCs w:val="24"/>
        </w:rPr>
        <w:t xml:space="preserve">), and to make a nonsubstantive change.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5. Amends Section 1101.358(a), Occupations Code, as follows: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(a) Requires an applicant for a sales agent license to provide to </w:t>
      </w:r>
      <w:r w:rsidRPr="00E07D7F">
        <w:rPr>
          <w:rFonts w:eastAsia="Times New Roman" w:cs="Times New Roman"/>
          <w:szCs w:val="24"/>
        </w:rPr>
        <w:t>TREC</w:t>
      </w:r>
      <w:r>
        <w:rPr>
          <w:rFonts w:eastAsia="Times New Roman" w:cs="Times New Roman"/>
          <w:szCs w:val="24"/>
        </w:rPr>
        <w:t xml:space="preserve"> satisfactory evidence that the applicant has successfully completed at least 12 semester hours, or equivalent classroom hours, of qualifying real estate courses required by </w:t>
      </w:r>
      <w:r w:rsidRPr="00E07D7F">
        <w:rPr>
          <w:rFonts w:eastAsia="Times New Roman" w:cs="Times New Roman"/>
          <w:szCs w:val="24"/>
        </w:rPr>
        <w:t>TREC</w:t>
      </w:r>
      <w:r>
        <w:rPr>
          <w:rFonts w:eastAsia="Times New Roman" w:cs="Times New Roman"/>
          <w:szCs w:val="24"/>
        </w:rPr>
        <w:t xml:space="preserve"> rule, rather than education consisting of certain material.</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6. Amends Sections 1101.458(a), (b), and (c), Occupations Code, as follows:</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(a) Requires a broker and a sales agent who supervises another license holder to attend during the term of the current license the broker responsibility course approved by </w:t>
      </w:r>
      <w:r w:rsidRPr="00E07D7F">
        <w:rPr>
          <w:rFonts w:eastAsia="Times New Roman" w:cs="Times New Roman"/>
          <w:szCs w:val="24"/>
        </w:rPr>
        <w:t>TREC</w:t>
      </w:r>
      <w:r>
        <w:rPr>
          <w:rFonts w:eastAsia="Times New Roman" w:cs="Times New Roman"/>
          <w:szCs w:val="24"/>
        </w:rPr>
        <w:t xml:space="preserve">. Deletes existing text requiring a designated broker for a business entity licensed under </w:t>
      </w:r>
      <w:r w:rsidRPr="00E07D7F">
        <w:rPr>
          <w:rFonts w:eastAsia="Times New Roman" w:cs="Times New Roman"/>
          <w:szCs w:val="24"/>
        </w:rPr>
        <w:t>TREC</w:t>
      </w:r>
      <w:r>
        <w:rPr>
          <w:rFonts w:eastAsia="Times New Roman" w:cs="Times New Roman"/>
          <w:szCs w:val="24"/>
        </w:rPr>
        <w:t xml:space="preserve">, a broker who sponsors a sales agent, or a license holder who supervises another license holder to attend during the term of the current license at least six classroom hours of broker responsibility education courses approved by </w:t>
      </w:r>
      <w:r w:rsidRPr="00E07D7F">
        <w:rPr>
          <w:rFonts w:eastAsia="Times New Roman" w:cs="Times New Roman"/>
          <w:szCs w:val="24"/>
        </w:rPr>
        <w:t>TREC</w:t>
      </w:r>
      <w:r>
        <w:rPr>
          <w:rFonts w:eastAsia="Times New Roman" w:cs="Times New Roman"/>
          <w:szCs w:val="24"/>
        </w:rPr>
        <w:t xml:space="preserve">. </w:t>
      </w:r>
    </w:p>
    <w:p w:rsidR="004078B1"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(b) Prohibits the course from exceeding six hours of classroom instruction. Makes conforming changes. </w:t>
      </w:r>
    </w:p>
    <w:p w:rsidR="004078B1"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(c) Authorizes broker responsibil</w:t>
      </w:r>
      <w:r w:rsidRPr="00E07D7F">
        <w:rPr>
          <w:rFonts w:eastAsia="Times New Roman" w:cs="Times New Roman"/>
          <w:szCs w:val="24"/>
        </w:rPr>
        <w:t>ity course hours to be used to satisfy the hours described by Sections 1101.356 (Broker License: Experience and Education Requirements) and 1101.455(f) (relating to authorizing certain continuing education course hours to be devoted to other real estate-related topics and courses approved by TREC). Makes conforming and nonsubstantive changes.</w:t>
      </w:r>
      <w:r>
        <w:rPr>
          <w:rFonts w:eastAsia="Times New Roman" w:cs="Times New Roman"/>
          <w:szCs w:val="24"/>
        </w:rPr>
        <w:t xml:space="preserv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7. Amends Section 1101.552, Occupations Code, by amending Subsection (e) and adding Subsections (f) and (g), as follows:</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(e) Requires a license holder to provide </w:t>
      </w:r>
      <w:r w:rsidRPr="00E07D7F">
        <w:rPr>
          <w:rFonts w:eastAsia="Times New Roman" w:cs="Times New Roman"/>
          <w:szCs w:val="24"/>
        </w:rPr>
        <w:t>TREC</w:t>
      </w:r>
      <w:r>
        <w:rPr>
          <w:rFonts w:eastAsia="Times New Roman" w:cs="Times New Roman"/>
          <w:szCs w:val="24"/>
        </w:rPr>
        <w:t xml:space="preserve"> with the license holder's current mailing address, business address, business telephone number, and business e-mail address and, if the license holder is an associated broker, the name of the broker with whom the license holder is associated. Deletes existing text requiring a license holder to provide </w:t>
      </w:r>
      <w:r w:rsidRPr="00E07D7F">
        <w:rPr>
          <w:rFonts w:eastAsia="Times New Roman" w:cs="Times New Roman"/>
          <w:szCs w:val="24"/>
        </w:rPr>
        <w:t>TREC</w:t>
      </w:r>
      <w:r>
        <w:rPr>
          <w:rFonts w:eastAsia="Times New Roman" w:cs="Times New Roman"/>
          <w:szCs w:val="24"/>
        </w:rPr>
        <w:t xml:space="preserve"> with certain information, including the license holder's business e-mail address if available. Makes nonsubstantive changes. </w:t>
      </w:r>
    </w:p>
    <w:p w:rsidR="004078B1"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(f) Creates this subsection from existing text. Requires a license holder to notify </w:t>
      </w:r>
      <w:r w:rsidRPr="00E07D7F">
        <w:rPr>
          <w:rFonts w:eastAsia="Times New Roman" w:cs="Times New Roman"/>
          <w:szCs w:val="24"/>
        </w:rPr>
        <w:t>TREC</w:t>
      </w:r>
      <w:r>
        <w:rPr>
          <w:rFonts w:eastAsia="Times New Roman" w:cs="Times New Roman"/>
          <w:szCs w:val="24"/>
        </w:rPr>
        <w:t xml:space="preserve"> of a change in the information described by Subsection (e), rather than the license holder's mailing or e-mail address or telephone number. </w:t>
      </w:r>
    </w:p>
    <w:p w:rsidR="004078B1"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(g) Defines "associated broker."</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8. Amends Section 1101.558(b-1), Occupations Code, to require a license holder, at the time of the license holder's first substantive communication with a party relating to a proposed transaction regarding specific real property, to provide to the party written notice in at least a 10-point font that includes certain information, including a description of the basic obligations a broker has to a party to a real estate transaction that the broker does not represent, and to make nonsubstantive changes.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9. Amends Subchapter L, Chapter 1101, Occupations Code, by adding Sections 1101.562 and 1101.563, as follows:</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Sec. 1101.562. REAL PROPERTY SHOWINGS WITHOUT REPRESENTATION. (a) Authorizes a broker to show real property available for sale or lease to a party without representing the party if the broker:</w:t>
      </w:r>
    </w:p>
    <w:p w:rsidR="004078B1" w:rsidRDefault="004078B1" w:rsidP="00B9667E">
      <w:pPr>
        <w:spacing w:after="0" w:line="240" w:lineRule="auto"/>
        <w:ind w:left="720"/>
        <w:jc w:val="both"/>
        <w:rPr>
          <w:rFonts w:eastAsia="Times New Roman" w:cs="Times New Roman"/>
          <w:szCs w:val="24"/>
        </w:rPr>
      </w:pPr>
    </w:p>
    <w:p w:rsidR="004078B1" w:rsidRPr="00E07D7F" w:rsidRDefault="004078B1" w:rsidP="00B9667E">
      <w:pPr>
        <w:spacing w:after="0" w:line="240" w:lineRule="auto"/>
        <w:ind w:left="2160"/>
        <w:jc w:val="both"/>
        <w:rPr>
          <w:rFonts w:eastAsia="Times New Roman" w:cs="Times New Roman"/>
          <w:szCs w:val="24"/>
        </w:rPr>
      </w:pPr>
      <w:r w:rsidRPr="00E07D7F">
        <w:rPr>
          <w:rFonts w:eastAsia="Times New Roman" w:cs="Times New Roman"/>
          <w:szCs w:val="24"/>
        </w:rPr>
        <w:t>(1) has not agreed with the party, either orally or in writing, to represent the party;</w:t>
      </w:r>
    </w:p>
    <w:p w:rsidR="004078B1" w:rsidRPr="00E07D7F" w:rsidRDefault="004078B1" w:rsidP="00B9667E">
      <w:pPr>
        <w:spacing w:after="0" w:line="240" w:lineRule="auto"/>
        <w:ind w:left="720"/>
        <w:jc w:val="both"/>
        <w:rPr>
          <w:rFonts w:eastAsia="Times New Roman" w:cs="Times New Roman"/>
          <w:szCs w:val="24"/>
        </w:rPr>
      </w:pPr>
    </w:p>
    <w:p w:rsidR="004078B1" w:rsidRPr="00E07D7F" w:rsidRDefault="004078B1" w:rsidP="00B9667E">
      <w:pPr>
        <w:spacing w:after="0" w:line="240" w:lineRule="auto"/>
        <w:ind w:left="2160"/>
        <w:jc w:val="both"/>
        <w:rPr>
          <w:rFonts w:eastAsia="Times New Roman" w:cs="Times New Roman"/>
          <w:szCs w:val="24"/>
        </w:rPr>
      </w:pPr>
      <w:r w:rsidRPr="00E07D7F">
        <w:rPr>
          <w:rFonts w:eastAsia="Times New Roman" w:cs="Times New Roman"/>
          <w:szCs w:val="24"/>
        </w:rPr>
        <w:t>(2) is not otherwise acting as the party's agent at the time of showing the real property;</w:t>
      </w:r>
    </w:p>
    <w:p w:rsidR="004078B1" w:rsidRPr="00E07D7F" w:rsidRDefault="004078B1" w:rsidP="00B9667E">
      <w:pPr>
        <w:spacing w:after="0" w:line="240" w:lineRule="auto"/>
        <w:ind w:left="720"/>
        <w:jc w:val="both"/>
        <w:rPr>
          <w:rFonts w:eastAsia="Times New Roman" w:cs="Times New Roman"/>
          <w:szCs w:val="24"/>
        </w:rPr>
      </w:pPr>
    </w:p>
    <w:p w:rsidR="004078B1" w:rsidRPr="00E07D7F" w:rsidRDefault="004078B1" w:rsidP="00B9667E">
      <w:pPr>
        <w:spacing w:after="0" w:line="240" w:lineRule="auto"/>
        <w:ind w:left="2160"/>
        <w:jc w:val="both"/>
        <w:rPr>
          <w:rFonts w:eastAsia="Times New Roman" w:cs="Times New Roman"/>
          <w:szCs w:val="24"/>
        </w:rPr>
      </w:pPr>
      <w:r w:rsidRPr="00E07D7F">
        <w:rPr>
          <w:rFonts w:eastAsia="Times New Roman" w:cs="Times New Roman"/>
          <w:szCs w:val="24"/>
        </w:rPr>
        <w:t>(3) does not provide to the party opinions or advice regarding the real property or real estate transactions in general; and</w:t>
      </w:r>
    </w:p>
    <w:p w:rsidR="004078B1" w:rsidRPr="00E07D7F"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2160"/>
        <w:jc w:val="both"/>
        <w:rPr>
          <w:rFonts w:eastAsia="Times New Roman" w:cs="Times New Roman"/>
          <w:szCs w:val="24"/>
        </w:rPr>
      </w:pPr>
      <w:r w:rsidRPr="00E07D7F">
        <w:rPr>
          <w:rFonts w:eastAsia="Times New Roman" w:cs="Times New Roman"/>
          <w:szCs w:val="24"/>
        </w:rPr>
        <w:t>(4) does not perform any other act of real estate brokerage for the party.</w:t>
      </w:r>
    </w:p>
    <w:p w:rsidR="004078B1" w:rsidRDefault="004078B1" w:rsidP="00B9667E">
      <w:pPr>
        <w:spacing w:after="0" w:line="240" w:lineRule="auto"/>
        <w:ind w:left="720"/>
        <w:jc w:val="both"/>
        <w:rPr>
          <w:rFonts w:eastAsia="Times New Roman" w:cs="Times New Roman"/>
          <w:szCs w:val="24"/>
        </w:rPr>
      </w:pPr>
    </w:p>
    <w:p w:rsidR="004078B1" w:rsidRDefault="004078B1" w:rsidP="00B9667E">
      <w:pPr>
        <w:spacing w:after="0" w:line="240" w:lineRule="auto"/>
        <w:ind w:left="1440"/>
        <w:jc w:val="both"/>
        <w:rPr>
          <w:rFonts w:eastAsia="Times New Roman" w:cs="Times New Roman"/>
          <w:szCs w:val="24"/>
        </w:rPr>
      </w:pPr>
      <w:r>
        <w:rPr>
          <w:rFonts w:eastAsia="Times New Roman" w:cs="Times New Roman"/>
          <w:szCs w:val="24"/>
        </w:rPr>
        <w:t xml:space="preserve">(b) Requires a broker, </w:t>
      </w:r>
      <w:r w:rsidRPr="00E07D7F">
        <w:rPr>
          <w:rFonts w:eastAsia="Times New Roman" w:cs="Times New Roman"/>
          <w:szCs w:val="24"/>
        </w:rPr>
        <w:t>before the broker is authorized to show real property under Subsection (a), as applicable,</w:t>
      </w:r>
      <w:r>
        <w:rPr>
          <w:rFonts w:eastAsia="Times New Roman" w:cs="Times New Roman"/>
          <w:szCs w:val="24"/>
        </w:rPr>
        <w:t xml:space="preserve"> to</w:t>
      </w:r>
      <w:r w:rsidRPr="00E07D7F">
        <w:rPr>
          <w:rFonts w:eastAsia="Times New Roman" w:cs="Times New Roman"/>
          <w:szCs w:val="24"/>
        </w:rPr>
        <w:t xml:space="preserve"> disclose to the party as required by Section 1101.558(b) (relating to certain disclosure requirements of a license holder who represents a party in a proposed real estate transaction) if the broker represents the owner of the real property or provide to the party the written notice described by Section 1101.558(b-1) (relating to requiring a license holder to provide to a certain party a certain written notice) if the broker does not represent the owner of the real property.</w:t>
      </w:r>
    </w:p>
    <w:p w:rsidR="004078B1" w:rsidRDefault="004078B1" w:rsidP="00B9667E">
      <w:pPr>
        <w:spacing w:after="0" w:line="240" w:lineRule="auto"/>
        <w:ind w:left="1440"/>
        <w:jc w:val="both"/>
        <w:rPr>
          <w:rFonts w:eastAsia="Times New Roman" w:cs="Times New Roman"/>
          <w:szCs w:val="24"/>
        </w:rPr>
      </w:pPr>
    </w:p>
    <w:p w:rsidR="004078B1" w:rsidRDefault="004078B1" w:rsidP="00B9667E">
      <w:pPr>
        <w:spacing w:after="0" w:line="240" w:lineRule="auto"/>
        <w:ind w:left="1440"/>
        <w:jc w:val="both"/>
        <w:rPr>
          <w:rFonts w:eastAsia="Times New Roman" w:cs="Times New Roman"/>
          <w:szCs w:val="24"/>
        </w:rPr>
      </w:pPr>
      <w:r>
        <w:rPr>
          <w:rFonts w:eastAsia="Times New Roman" w:cs="Times New Roman"/>
          <w:szCs w:val="24"/>
        </w:rPr>
        <w:t xml:space="preserve">(c) Authorizes a broker showing real property under this section, notwithstanding Subsections (a)(3) and (4), to confirm information to a party regarding the size, price, and terms of the real property available for sale or lease.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Pr>
          <w:rFonts w:eastAsia="Times New Roman" w:cs="Times New Roman"/>
          <w:szCs w:val="24"/>
        </w:rPr>
        <w:t>Sec. 1101.563. WRITTEN AGREEMENT REQUIRED. (a) Defines "residential real property."</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1440"/>
        <w:jc w:val="both"/>
        <w:rPr>
          <w:rFonts w:eastAsia="Times New Roman" w:cs="Times New Roman"/>
          <w:szCs w:val="24"/>
        </w:rPr>
      </w:pPr>
      <w:r>
        <w:rPr>
          <w:rFonts w:eastAsia="Times New Roman" w:cs="Times New Roman"/>
          <w:szCs w:val="24"/>
        </w:rPr>
        <w:t xml:space="preserve">(b) Requires a license holder, before the license holder is authorized to perform any act of real estate brokerage for a prospective buyer of a residential real property, to enter into a written agreement with the prospective buyer. Requires that the written agreement state certain information and disclose in conspicuous language that broker compensation is not set by law and is fully negotiable. </w:t>
      </w:r>
    </w:p>
    <w:p w:rsidR="004078B1" w:rsidRDefault="004078B1" w:rsidP="00B9667E">
      <w:pPr>
        <w:spacing w:after="0" w:line="240" w:lineRule="auto"/>
        <w:ind w:left="1440"/>
        <w:jc w:val="both"/>
        <w:rPr>
          <w:rFonts w:eastAsia="Times New Roman" w:cs="Times New Roman"/>
          <w:szCs w:val="24"/>
        </w:rPr>
      </w:pPr>
    </w:p>
    <w:p w:rsidR="004078B1" w:rsidRDefault="004078B1" w:rsidP="00B9667E">
      <w:pPr>
        <w:spacing w:after="0" w:line="240" w:lineRule="auto"/>
        <w:ind w:left="1440"/>
        <w:jc w:val="both"/>
        <w:rPr>
          <w:rFonts w:eastAsia="Times New Roman" w:cs="Times New Roman"/>
          <w:szCs w:val="24"/>
        </w:rPr>
      </w:pPr>
      <w:r>
        <w:rPr>
          <w:rFonts w:eastAsia="Times New Roman" w:cs="Times New Roman"/>
          <w:szCs w:val="24"/>
        </w:rPr>
        <w:t>(c) Requires a license holder who enters into a written agreement with a prospective buyer for the sole purpose of showing real property under Section 1101.562 to enter into a separate agreement with the prospective buyer if additional real estate brokerage acts are to be provided after showing the real property.</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10. Amends Sections 1101.652(a) and (b), Occupations Code, as follows:</w:t>
      </w:r>
    </w:p>
    <w:p w:rsidR="004078B1" w:rsidRDefault="004078B1" w:rsidP="00B9667E">
      <w:pPr>
        <w:spacing w:after="0" w:line="240" w:lineRule="auto"/>
        <w:jc w:val="both"/>
        <w:rPr>
          <w:rFonts w:eastAsia="Times New Roman" w:cs="Times New Roman"/>
          <w:szCs w:val="24"/>
        </w:rPr>
      </w:pPr>
    </w:p>
    <w:p w:rsidR="004078B1" w:rsidRPr="00E07D7F" w:rsidRDefault="004078B1" w:rsidP="00B9667E">
      <w:pPr>
        <w:spacing w:after="0" w:line="240" w:lineRule="auto"/>
        <w:ind w:left="720"/>
        <w:jc w:val="both"/>
        <w:rPr>
          <w:rFonts w:eastAsia="Times New Roman" w:cs="Times New Roman"/>
          <w:szCs w:val="24"/>
        </w:rPr>
      </w:pPr>
      <w:r>
        <w:rPr>
          <w:rFonts w:eastAsia="Times New Roman" w:cs="Times New Roman"/>
          <w:szCs w:val="24"/>
        </w:rPr>
        <w:t xml:space="preserve">(a) Authorizes </w:t>
      </w:r>
      <w:r w:rsidRPr="00E07D7F">
        <w:rPr>
          <w:rFonts w:eastAsia="Times New Roman" w:cs="Times New Roman"/>
          <w:szCs w:val="24"/>
        </w:rPr>
        <w:t>TREC</w:t>
      </w:r>
      <w:r>
        <w:rPr>
          <w:rFonts w:eastAsia="Times New Roman" w:cs="Times New Roman"/>
          <w:szCs w:val="24"/>
        </w:rPr>
        <w:t xml:space="preserve"> to suspend or revoke a license issued </w:t>
      </w:r>
      <w:r w:rsidRPr="00E07D7F">
        <w:rPr>
          <w:rFonts w:eastAsia="Times New Roman" w:cs="Times New Roman"/>
          <w:szCs w:val="24"/>
        </w:rPr>
        <w:t xml:space="preserve">under this chapter or Chapter 1102 or take other disciplinary action authorized by this chapter or Chapter 1102 if the license holder takes certain actions, including failing to honor, within a reasonable time, a payment, rather than a check, issued to TREC after TREC has sent by certified mail a request for payment to the license holder's last known address, rather than business address, according to TREC records. </w:t>
      </w:r>
    </w:p>
    <w:p w:rsidR="004078B1" w:rsidRPr="00E07D7F"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ind w:left="720"/>
        <w:jc w:val="both"/>
        <w:rPr>
          <w:rFonts w:eastAsia="Times New Roman" w:cs="Times New Roman"/>
          <w:szCs w:val="24"/>
        </w:rPr>
      </w:pPr>
      <w:r w:rsidRPr="00E07D7F">
        <w:rPr>
          <w:rFonts w:eastAsia="Times New Roman" w:cs="Times New Roman"/>
          <w:szCs w:val="24"/>
        </w:rPr>
        <w:t>(b) Authorizes TREC to suspend or revoke a license issued under this chapter or take other disciplinary action authorized by this chapter if the license holder, while engaged in real estate brokerage takes certain actions, including failing to enter into a written agreement with a prospective buyer as required by Section 1101.563. Makes nonsubstantive changes.</w:t>
      </w:r>
      <w:r>
        <w:rPr>
          <w:rFonts w:eastAsia="Times New Roman" w:cs="Times New Roman"/>
          <w:szCs w:val="24"/>
        </w:rPr>
        <w:t xml:space="preserv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11. Amends Section 1101.653, Occupations Code, to make a conforming change.</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12. R</w:t>
      </w:r>
      <w:r w:rsidRPr="00E07D7F">
        <w:rPr>
          <w:rFonts w:eastAsia="Times New Roman" w:cs="Times New Roman"/>
          <w:szCs w:val="24"/>
        </w:rPr>
        <w:t>epealers: Sections 1101.002(8) (relating to defining "subagent") and 1101.805(f) (relating to providing that a party or license holder is not liable for a misrepresentation or a concealment of a material fact made by a subagent in a real estate transaction unless certain actions are taken), Occupations Code.</w:t>
      </w:r>
      <w:r>
        <w:rPr>
          <w:rFonts w:eastAsia="Times New Roman" w:cs="Times New Roman"/>
          <w:szCs w:val="24"/>
        </w:rPr>
        <w:t xml:space="preserv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13. Makes application of Section 1101.204, Occupations Code, as amended by this Act, prospective.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14. Makes application of Section 1101.356(a), Occupations Code, as amended by this Act, prospective. </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15. Makes application of Section 1101.358(a), Occupations Code, as amended by this Act, prospective.</w:t>
      </w:r>
    </w:p>
    <w:p w:rsidR="004078B1" w:rsidRDefault="004078B1" w:rsidP="00B9667E">
      <w:pPr>
        <w:spacing w:after="0" w:line="240" w:lineRule="auto"/>
        <w:jc w:val="both"/>
        <w:rPr>
          <w:rFonts w:eastAsia="Times New Roman" w:cs="Times New Roman"/>
          <w:szCs w:val="24"/>
        </w:rPr>
      </w:pPr>
    </w:p>
    <w:p w:rsidR="004078B1" w:rsidRDefault="004078B1" w:rsidP="00B9667E">
      <w:pPr>
        <w:spacing w:after="0" w:line="240" w:lineRule="auto"/>
        <w:jc w:val="both"/>
        <w:rPr>
          <w:rFonts w:eastAsia="Times New Roman" w:cs="Times New Roman"/>
          <w:szCs w:val="24"/>
        </w:rPr>
      </w:pPr>
      <w:r>
        <w:rPr>
          <w:rFonts w:eastAsia="Times New Roman" w:cs="Times New Roman"/>
          <w:szCs w:val="24"/>
        </w:rPr>
        <w:t>SECTION 16. Makes application of Section 1101.652(b), Occupations Code, as amended by this Act, prospective.</w:t>
      </w:r>
    </w:p>
    <w:p w:rsidR="004078B1" w:rsidRDefault="004078B1" w:rsidP="00B9667E">
      <w:pPr>
        <w:spacing w:after="0" w:line="240" w:lineRule="auto"/>
        <w:jc w:val="both"/>
        <w:rPr>
          <w:rFonts w:eastAsia="Times New Roman" w:cs="Times New Roman"/>
          <w:szCs w:val="24"/>
        </w:rPr>
      </w:pPr>
    </w:p>
    <w:p w:rsidR="004078B1" w:rsidRPr="00C8671F" w:rsidRDefault="004078B1" w:rsidP="00B9667E">
      <w:pPr>
        <w:spacing w:after="0" w:line="240" w:lineRule="auto"/>
        <w:jc w:val="both"/>
        <w:rPr>
          <w:rFonts w:eastAsia="Times New Roman" w:cs="Times New Roman"/>
          <w:szCs w:val="24"/>
        </w:rPr>
      </w:pPr>
      <w:r>
        <w:rPr>
          <w:rFonts w:eastAsia="Times New Roman" w:cs="Times New Roman"/>
          <w:szCs w:val="24"/>
        </w:rPr>
        <w:t xml:space="preserve">SECTION 17. Effective date: January 1, 2026. </w:t>
      </w:r>
    </w:p>
    <w:sectPr w:rsidR="004078B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1870" w:rsidRDefault="001F1870" w:rsidP="000F1DF9">
      <w:pPr>
        <w:spacing w:after="0" w:line="240" w:lineRule="auto"/>
      </w:pPr>
      <w:r>
        <w:separator/>
      </w:r>
    </w:p>
  </w:endnote>
  <w:endnote w:type="continuationSeparator" w:id="0">
    <w:p w:rsidR="001F1870" w:rsidRDefault="001F18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F187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078B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078B1">
                <w:rPr>
                  <w:sz w:val="20"/>
                  <w:szCs w:val="20"/>
                </w:rPr>
                <w:t>S.B. 1968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078B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F187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1870" w:rsidRDefault="001F1870" w:rsidP="000F1DF9">
      <w:pPr>
        <w:spacing w:after="0" w:line="240" w:lineRule="auto"/>
      </w:pPr>
      <w:r>
        <w:separator/>
      </w:r>
    </w:p>
  </w:footnote>
  <w:footnote w:type="continuationSeparator" w:id="0">
    <w:p w:rsidR="001F1870" w:rsidRDefault="001F18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F1870"/>
    <w:rsid w:val="002355A9"/>
    <w:rsid w:val="00257C49"/>
    <w:rsid w:val="00305C27"/>
    <w:rsid w:val="00330BDA"/>
    <w:rsid w:val="0034346C"/>
    <w:rsid w:val="00376DD2"/>
    <w:rsid w:val="00382704"/>
    <w:rsid w:val="003A2368"/>
    <w:rsid w:val="003D3676"/>
    <w:rsid w:val="00404760"/>
    <w:rsid w:val="004078B1"/>
    <w:rsid w:val="0045110C"/>
    <w:rsid w:val="00503AD0"/>
    <w:rsid w:val="005320AA"/>
    <w:rsid w:val="00544B9F"/>
    <w:rsid w:val="00585C31"/>
    <w:rsid w:val="005A233E"/>
    <w:rsid w:val="005A7918"/>
    <w:rsid w:val="005E0AC7"/>
    <w:rsid w:val="005F46D7"/>
    <w:rsid w:val="00605CA0"/>
    <w:rsid w:val="006529C4"/>
    <w:rsid w:val="006D756B"/>
    <w:rsid w:val="00774EC7"/>
    <w:rsid w:val="00833061"/>
    <w:rsid w:val="008A6859"/>
    <w:rsid w:val="0093341F"/>
    <w:rsid w:val="009562E3"/>
    <w:rsid w:val="00985270"/>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23154"/>
  <w15:docId w15:val="{DFFF5CAF-87E4-4023-BA69-498BE12E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078B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29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FF4067E92154717AD06A960CFBCDB64"/>
        <w:category>
          <w:name w:val="General"/>
          <w:gallery w:val="placeholder"/>
        </w:category>
        <w:types>
          <w:type w:val="bbPlcHdr"/>
        </w:types>
        <w:behaviors>
          <w:behavior w:val="content"/>
        </w:behaviors>
        <w:guid w:val="{E3F43068-5C19-4431-A5D5-A8ECC124E98C}"/>
      </w:docPartPr>
      <w:docPartBody>
        <w:p w:rsidR="005477FA" w:rsidRDefault="005477FA"/>
      </w:docPartBody>
    </w:docPart>
    <w:docPart>
      <w:docPartPr>
        <w:name w:val="DE38F31C2FAD41EAA65C47E08A53DBD6"/>
        <w:category>
          <w:name w:val="General"/>
          <w:gallery w:val="placeholder"/>
        </w:category>
        <w:types>
          <w:type w:val="bbPlcHdr"/>
        </w:types>
        <w:behaviors>
          <w:behavior w:val="content"/>
        </w:behaviors>
        <w:guid w:val="{8EA19EE5-4F3A-43C8-A5C5-B48DF794EAE0}"/>
      </w:docPartPr>
      <w:docPartBody>
        <w:p w:rsidR="005477FA" w:rsidRDefault="005477FA"/>
      </w:docPartBody>
    </w:docPart>
    <w:docPart>
      <w:docPartPr>
        <w:name w:val="5101E157847D46E48DA2E777967250E3"/>
        <w:category>
          <w:name w:val="General"/>
          <w:gallery w:val="placeholder"/>
        </w:category>
        <w:types>
          <w:type w:val="bbPlcHdr"/>
        </w:types>
        <w:behaviors>
          <w:behavior w:val="content"/>
        </w:behaviors>
        <w:guid w:val="{980A4712-B4AF-4861-B7F3-EC22C4FC3091}"/>
      </w:docPartPr>
      <w:docPartBody>
        <w:p w:rsidR="005477FA" w:rsidRDefault="005477FA"/>
      </w:docPartBody>
    </w:docPart>
    <w:docPart>
      <w:docPartPr>
        <w:name w:val="8C605F2C6A76492F8DDC6C138487A248"/>
        <w:category>
          <w:name w:val="General"/>
          <w:gallery w:val="placeholder"/>
        </w:category>
        <w:types>
          <w:type w:val="bbPlcHdr"/>
        </w:types>
        <w:behaviors>
          <w:behavior w:val="content"/>
        </w:behaviors>
        <w:guid w:val="{1A1E6A03-F00A-4C56-B7EF-1220BE37E612}"/>
      </w:docPartPr>
      <w:docPartBody>
        <w:p w:rsidR="005477FA" w:rsidRDefault="005477FA"/>
      </w:docPartBody>
    </w:docPart>
    <w:docPart>
      <w:docPartPr>
        <w:name w:val="0F92B8930426427CBC52C1D24D75B5A8"/>
        <w:category>
          <w:name w:val="General"/>
          <w:gallery w:val="placeholder"/>
        </w:category>
        <w:types>
          <w:type w:val="bbPlcHdr"/>
        </w:types>
        <w:behaviors>
          <w:behavior w:val="content"/>
        </w:behaviors>
        <w:guid w:val="{E770F212-7456-4989-9F3A-880A7E881864}"/>
      </w:docPartPr>
      <w:docPartBody>
        <w:p w:rsidR="005477FA" w:rsidRDefault="005477FA"/>
      </w:docPartBody>
    </w:docPart>
    <w:docPart>
      <w:docPartPr>
        <w:name w:val="867C0306D0B74147BA946865FBB37582"/>
        <w:category>
          <w:name w:val="General"/>
          <w:gallery w:val="placeholder"/>
        </w:category>
        <w:types>
          <w:type w:val="bbPlcHdr"/>
        </w:types>
        <w:behaviors>
          <w:behavior w:val="content"/>
        </w:behaviors>
        <w:guid w:val="{6F403943-FF13-490A-9345-869E16E72D90}"/>
      </w:docPartPr>
      <w:docPartBody>
        <w:p w:rsidR="005477FA" w:rsidRDefault="005477FA"/>
      </w:docPartBody>
    </w:docPart>
    <w:docPart>
      <w:docPartPr>
        <w:name w:val="AC294215CF294E82832BF2C86C1368C8"/>
        <w:category>
          <w:name w:val="General"/>
          <w:gallery w:val="placeholder"/>
        </w:category>
        <w:types>
          <w:type w:val="bbPlcHdr"/>
        </w:types>
        <w:behaviors>
          <w:behavior w:val="content"/>
        </w:behaviors>
        <w:guid w:val="{FB90E6A1-BE5B-4531-B5C7-9D423AF7CEC8}"/>
      </w:docPartPr>
      <w:docPartBody>
        <w:p w:rsidR="005477FA" w:rsidRDefault="005477FA"/>
      </w:docPartBody>
    </w:docPart>
    <w:docPart>
      <w:docPartPr>
        <w:name w:val="C02673D7DA7949C09F1D9664D46EB9E4"/>
        <w:category>
          <w:name w:val="General"/>
          <w:gallery w:val="placeholder"/>
        </w:category>
        <w:types>
          <w:type w:val="bbPlcHdr"/>
        </w:types>
        <w:behaviors>
          <w:behavior w:val="content"/>
        </w:behaviors>
        <w:guid w:val="{441016D4-1456-400F-9148-87D48C5484A1}"/>
      </w:docPartPr>
      <w:docPartBody>
        <w:p w:rsidR="005477FA" w:rsidRDefault="005477FA"/>
      </w:docPartBody>
    </w:docPart>
    <w:docPart>
      <w:docPartPr>
        <w:name w:val="937919197FC44793A1208F555EBB6E76"/>
        <w:category>
          <w:name w:val="General"/>
          <w:gallery w:val="placeholder"/>
        </w:category>
        <w:types>
          <w:type w:val="bbPlcHdr"/>
        </w:types>
        <w:behaviors>
          <w:behavior w:val="content"/>
        </w:behaviors>
        <w:guid w:val="{368BBA7B-3789-452D-99DF-C8833D031006}"/>
      </w:docPartPr>
      <w:docPartBody>
        <w:p w:rsidR="005477FA" w:rsidRDefault="005477FA"/>
      </w:docPartBody>
    </w:docPart>
    <w:docPart>
      <w:docPartPr>
        <w:name w:val="661555AC4876403AB40E75191847C515"/>
        <w:category>
          <w:name w:val="General"/>
          <w:gallery w:val="placeholder"/>
        </w:category>
        <w:types>
          <w:type w:val="bbPlcHdr"/>
        </w:types>
        <w:behaviors>
          <w:behavior w:val="content"/>
        </w:behaviors>
        <w:guid w:val="{4886367B-1FB1-46D8-93D0-35591E394CCB}"/>
      </w:docPartPr>
      <w:docPartBody>
        <w:p w:rsidR="005477FA" w:rsidRDefault="00485F2B" w:rsidP="00485F2B">
          <w:pPr>
            <w:pStyle w:val="661555AC4876403AB40E75191847C515"/>
          </w:pPr>
          <w:r w:rsidRPr="00A30DD1">
            <w:rPr>
              <w:rStyle w:val="PlaceholderText"/>
            </w:rPr>
            <w:t>Click here to enter a date.</w:t>
          </w:r>
        </w:p>
      </w:docPartBody>
    </w:docPart>
    <w:docPart>
      <w:docPartPr>
        <w:name w:val="3B13AA962D42415CBBD667ECCC81136B"/>
        <w:category>
          <w:name w:val="General"/>
          <w:gallery w:val="placeholder"/>
        </w:category>
        <w:types>
          <w:type w:val="bbPlcHdr"/>
        </w:types>
        <w:behaviors>
          <w:behavior w:val="content"/>
        </w:behaviors>
        <w:guid w:val="{1159B969-283D-4704-A1C0-1A67E4EA9A38}"/>
      </w:docPartPr>
      <w:docPartBody>
        <w:p w:rsidR="005477FA" w:rsidRDefault="005477FA"/>
      </w:docPartBody>
    </w:docPart>
    <w:docPart>
      <w:docPartPr>
        <w:name w:val="873A9FA0DFD842C8929A44C17877D091"/>
        <w:category>
          <w:name w:val="General"/>
          <w:gallery w:val="placeholder"/>
        </w:category>
        <w:types>
          <w:type w:val="bbPlcHdr"/>
        </w:types>
        <w:behaviors>
          <w:behavior w:val="content"/>
        </w:behaviors>
        <w:guid w:val="{C7C8903F-0336-467C-ACDF-C8B84E79C46F}"/>
      </w:docPartPr>
      <w:docPartBody>
        <w:p w:rsidR="005477FA" w:rsidRDefault="005477FA"/>
      </w:docPartBody>
    </w:docPart>
    <w:docPart>
      <w:docPartPr>
        <w:name w:val="352112049A254D30BDFC2C03DDF3457E"/>
        <w:category>
          <w:name w:val="General"/>
          <w:gallery w:val="placeholder"/>
        </w:category>
        <w:types>
          <w:type w:val="bbPlcHdr"/>
        </w:types>
        <w:behaviors>
          <w:behavior w:val="content"/>
        </w:behaviors>
        <w:guid w:val="{E9601FE6-2CD6-4033-A59A-6CEA2FD3FD77}"/>
      </w:docPartPr>
      <w:docPartBody>
        <w:p w:rsidR="005477FA" w:rsidRDefault="00485F2B" w:rsidP="00485F2B">
          <w:pPr>
            <w:pStyle w:val="352112049A254D30BDFC2C03DDF3457E"/>
          </w:pPr>
          <w:r>
            <w:rPr>
              <w:rFonts w:eastAsia="Times New Roman" w:cs="Times New Roman"/>
              <w:bCs/>
            </w:rPr>
            <w:t xml:space="preserve"> </w:t>
          </w:r>
        </w:p>
      </w:docPartBody>
    </w:docPart>
    <w:docPart>
      <w:docPartPr>
        <w:name w:val="F2AB9175BD924564B25EFB7BDA71D8DE"/>
        <w:category>
          <w:name w:val="General"/>
          <w:gallery w:val="placeholder"/>
        </w:category>
        <w:types>
          <w:type w:val="bbPlcHdr"/>
        </w:types>
        <w:behaviors>
          <w:behavior w:val="content"/>
        </w:behaviors>
        <w:guid w:val="{71168BBD-C59D-4C94-8A11-FAA381835C03}"/>
      </w:docPartPr>
      <w:docPartBody>
        <w:p w:rsidR="005477FA" w:rsidRDefault="005477FA"/>
      </w:docPartBody>
    </w:docPart>
    <w:docPart>
      <w:docPartPr>
        <w:name w:val="FC58219FFF894CA0B3CC458312DE045A"/>
        <w:category>
          <w:name w:val="General"/>
          <w:gallery w:val="placeholder"/>
        </w:category>
        <w:types>
          <w:type w:val="bbPlcHdr"/>
        </w:types>
        <w:behaviors>
          <w:behavior w:val="content"/>
        </w:behaviors>
        <w:guid w:val="{6CBA2B8D-3CA4-4091-B583-F0A58AAF33D8}"/>
      </w:docPartPr>
      <w:docPartBody>
        <w:p w:rsidR="005477FA" w:rsidRDefault="00547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85F2B"/>
    <w:rsid w:val="00493D6D"/>
    <w:rsid w:val="005477FA"/>
    <w:rsid w:val="00576003"/>
    <w:rsid w:val="005A233E"/>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F2B"/>
    <w:rPr>
      <w:color w:val="808080"/>
    </w:rPr>
  </w:style>
  <w:style w:type="paragraph" w:customStyle="1" w:styleId="661555AC4876403AB40E75191847C515">
    <w:name w:val="661555AC4876403AB40E75191847C515"/>
    <w:rsid w:val="00485F2B"/>
    <w:pPr>
      <w:spacing w:after="160" w:line="278" w:lineRule="auto"/>
    </w:pPr>
    <w:rPr>
      <w:kern w:val="2"/>
      <w:sz w:val="24"/>
      <w:szCs w:val="24"/>
      <w14:ligatures w14:val="standardContextual"/>
    </w:rPr>
  </w:style>
  <w:style w:type="paragraph" w:customStyle="1" w:styleId="352112049A254D30BDFC2C03DDF3457E">
    <w:name w:val="352112049A254D30BDFC2C03DDF3457E"/>
    <w:rsid w:val="00485F2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1634</Words>
  <Characters>9319</Characters>
  <Application>Microsoft Office Word</Application>
  <DocSecurity>0</DocSecurity>
  <Lines>77</Lines>
  <Paragraphs>21</Paragraphs>
  <ScaleCrop>false</ScaleCrop>
  <Company>Texas Legislative Council</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2025-03-31T14:27:00Z</cp:lastPrinted>
  <dcterms:created xsi:type="dcterms:W3CDTF">2015-05-29T14:24:00Z</dcterms:created>
  <dcterms:modified xsi:type="dcterms:W3CDTF">2025-03-31T14:28:00Z</dcterms:modified>
</cp:coreProperties>
</file>

<file path=docProps/custom.xml><?xml version="1.0" encoding="utf-8"?>
<op:Properties xmlns:vt="http://schemas.openxmlformats.org/officeDocument/2006/docPropsVTypes" xmlns:op="http://schemas.openxmlformats.org/officeDocument/2006/custom-properties"/>
</file>