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9D371A" w14:paraId="0A0F8B22" w14:textId="77777777" w:rsidTr="00345119">
        <w:tc>
          <w:tcPr>
            <w:tcW w:w="9576" w:type="dxa"/>
            <w:noWrap/>
          </w:tcPr>
          <w:p w14:paraId="76FE04EA" w14:textId="77777777" w:rsidR="008423E4" w:rsidRPr="0022177D" w:rsidRDefault="005E3617" w:rsidP="003A3CA7">
            <w:pPr>
              <w:pStyle w:val="Heading1"/>
            </w:pPr>
            <w:r w:rsidRPr="00631897">
              <w:t>BILL ANALYSIS</w:t>
            </w:r>
          </w:p>
        </w:tc>
      </w:tr>
    </w:tbl>
    <w:p w14:paraId="1159503A" w14:textId="77777777" w:rsidR="008423E4" w:rsidRPr="0022177D" w:rsidRDefault="008423E4" w:rsidP="003A3CA7">
      <w:pPr>
        <w:jc w:val="center"/>
      </w:pPr>
    </w:p>
    <w:p w14:paraId="2A676F61" w14:textId="77777777" w:rsidR="008423E4" w:rsidRPr="00B31F0E" w:rsidRDefault="008423E4" w:rsidP="003A3CA7"/>
    <w:p w14:paraId="5D289974" w14:textId="77777777" w:rsidR="008423E4" w:rsidRPr="00742794" w:rsidRDefault="008423E4" w:rsidP="003A3CA7">
      <w:pPr>
        <w:tabs>
          <w:tab w:val="right" w:pos="9360"/>
        </w:tabs>
      </w:pPr>
    </w:p>
    <w:tbl>
      <w:tblPr>
        <w:tblW w:w="0" w:type="auto"/>
        <w:tblLayout w:type="fixed"/>
        <w:tblLook w:val="01E0" w:firstRow="1" w:lastRow="1" w:firstColumn="1" w:lastColumn="1" w:noHBand="0" w:noVBand="0"/>
      </w:tblPr>
      <w:tblGrid>
        <w:gridCol w:w="9576"/>
      </w:tblGrid>
      <w:tr w:rsidR="009D371A" w14:paraId="39124458" w14:textId="77777777" w:rsidTr="00345119">
        <w:tc>
          <w:tcPr>
            <w:tcW w:w="9576" w:type="dxa"/>
          </w:tcPr>
          <w:p w14:paraId="7993E056" w14:textId="10878C1B" w:rsidR="008423E4" w:rsidRPr="00861995" w:rsidRDefault="005E3617" w:rsidP="003A3CA7">
            <w:pPr>
              <w:jc w:val="right"/>
            </w:pPr>
            <w:r>
              <w:t>C.S.S.B. 2268</w:t>
            </w:r>
          </w:p>
        </w:tc>
      </w:tr>
      <w:tr w:rsidR="009D371A" w14:paraId="585481F0" w14:textId="77777777" w:rsidTr="00345119">
        <w:tc>
          <w:tcPr>
            <w:tcW w:w="9576" w:type="dxa"/>
          </w:tcPr>
          <w:p w14:paraId="0CD4BC9D" w14:textId="0721D699" w:rsidR="008423E4" w:rsidRPr="00861995" w:rsidRDefault="005E3617" w:rsidP="003A3CA7">
            <w:pPr>
              <w:jc w:val="right"/>
            </w:pPr>
            <w:r>
              <w:t xml:space="preserve">By: </w:t>
            </w:r>
            <w:r w:rsidR="00094987">
              <w:t>Schwertner</w:t>
            </w:r>
          </w:p>
        </w:tc>
      </w:tr>
      <w:tr w:rsidR="009D371A" w14:paraId="3B76A566" w14:textId="77777777" w:rsidTr="00345119">
        <w:tc>
          <w:tcPr>
            <w:tcW w:w="9576" w:type="dxa"/>
          </w:tcPr>
          <w:p w14:paraId="3D09C927" w14:textId="48C993DB" w:rsidR="008423E4" w:rsidRPr="00861995" w:rsidRDefault="005E3617" w:rsidP="003A3CA7">
            <w:pPr>
              <w:jc w:val="right"/>
            </w:pPr>
            <w:r>
              <w:t>State Affairs</w:t>
            </w:r>
          </w:p>
        </w:tc>
      </w:tr>
      <w:tr w:rsidR="009D371A" w14:paraId="05018324" w14:textId="77777777" w:rsidTr="00345119">
        <w:tc>
          <w:tcPr>
            <w:tcW w:w="9576" w:type="dxa"/>
          </w:tcPr>
          <w:p w14:paraId="51B417CA" w14:textId="41091671" w:rsidR="008423E4" w:rsidRDefault="005E3617" w:rsidP="003A3CA7">
            <w:pPr>
              <w:jc w:val="right"/>
            </w:pPr>
            <w:r>
              <w:t>Committee Report (Substituted)</w:t>
            </w:r>
          </w:p>
        </w:tc>
      </w:tr>
    </w:tbl>
    <w:p w14:paraId="2610BEFE" w14:textId="77777777" w:rsidR="008423E4" w:rsidRDefault="008423E4" w:rsidP="003A3CA7">
      <w:pPr>
        <w:tabs>
          <w:tab w:val="right" w:pos="9360"/>
        </w:tabs>
      </w:pPr>
    </w:p>
    <w:p w14:paraId="6B7BD19D" w14:textId="77777777" w:rsidR="008423E4" w:rsidRDefault="008423E4" w:rsidP="003A3CA7"/>
    <w:p w14:paraId="08256ED9" w14:textId="77777777" w:rsidR="008423E4" w:rsidRDefault="008423E4" w:rsidP="003A3CA7"/>
    <w:tbl>
      <w:tblPr>
        <w:tblW w:w="0" w:type="auto"/>
        <w:tblCellMar>
          <w:left w:w="115" w:type="dxa"/>
          <w:right w:w="115" w:type="dxa"/>
        </w:tblCellMar>
        <w:tblLook w:val="01E0" w:firstRow="1" w:lastRow="1" w:firstColumn="1" w:lastColumn="1" w:noHBand="0" w:noVBand="0"/>
      </w:tblPr>
      <w:tblGrid>
        <w:gridCol w:w="9360"/>
      </w:tblGrid>
      <w:tr w:rsidR="009D371A" w14:paraId="11B96396" w14:textId="77777777" w:rsidTr="00345119">
        <w:tc>
          <w:tcPr>
            <w:tcW w:w="9576" w:type="dxa"/>
          </w:tcPr>
          <w:p w14:paraId="1F1A2339" w14:textId="77777777" w:rsidR="008423E4" w:rsidRPr="00A8133F" w:rsidRDefault="005E3617" w:rsidP="003A3CA7">
            <w:pPr>
              <w:rPr>
                <w:b/>
              </w:rPr>
            </w:pPr>
            <w:r w:rsidRPr="009C1E9A">
              <w:rPr>
                <w:b/>
                <w:u w:val="single"/>
              </w:rPr>
              <w:t>BACKGROUND AND PURPOSE</w:t>
            </w:r>
            <w:r>
              <w:rPr>
                <w:b/>
              </w:rPr>
              <w:t xml:space="preserve"> </w:t>
            </w:r>
          </w:p>
          <w:p w14:paraId="48C5F183" w14:textId="77777777" w:rsidR="008423E4" w:rsidRDefault="008423E4" w:rsidP="003A3CA7"/>
          <w:p w14:paraId="2D3582E2" w14:textId="27D32253" w:rsidR="002761B3" w:rsidRDefault="005E3617" w:rsidP="003A3CA7">
            <w:pPr>
              <w:jc w:val="both"/>
            </w:pPr>
            <w:r w:rsidRPr="00484DAD">
              <w:t xml:space="preserve">The Texas Energy Fund was created to support new generation infrastructure in the state through loans and grants administered by the Public Utility Commission (PUC). However, </w:t>
            </w:r>
            <w:r w:rsidR="00F520EB">
              <w:t xml:space="preserve">the bill sponsor has informed the committee that </w:t>
            </w:r>
            <w:r w:rsidRPr="00484DAD">
              <w:t xml:space="preserve">the </w:t>
            </w:r>
            <w:r w:rsidR="005456AC" w:rsidRPr="00484DAD">
              <w:t>PUC</w:t>
            </w:r>
            <w:r w:rsidR="005456AC">
              <w:t>'</w:t>
            </w:r>
            <w:r w:rsidR="005456AC" w:rsidRPr="00484DAD">
              <w:t xml:space="preserve">s </w:t>
            </w:r>
            <w:r w:rsidRPr="00484DAD">
              <w:t>ability to disburse initial loan funds</w:t>
            </w:r>
            <w:r w:rsidR="004E6460">
              <w:t>,</w:t>
            </w:r>
            <w:r w:rsidRPr="00484DAD">
              <w:t xml:space="preserve"> currently limited to a deadline of December 31, 2025, may restrict flexibility in funding energy projects in response to market needs</w:t>
            </w:r>
            <w:r w:rsidR="00167101">
              <w:t>,</w:t>
            </w:r>
            <w:r>
              <w:t xml:space="preserve"> </w:t>
            </w:r>
            <w:r w:rsidR="004E6460">
              <w:t>and that</w:t>
            </w:r>
            <w:r w:rsidRPr="00484DAD">
              <w:t xml:space="preserve">, while </w:t>
            </w:r>
            <w:r w:rsidR="00167101">
              <w:t>current law</w:t>
            </w:r>
            <w:r w:rsidRPr="00484DAD">
              <w:t xml:space="preserve"> provides confidentiality protections for application materials, the </w:t>
            </w:r>
            <w:r w:rsidR="004E6460">
              <w:t>office of the attorney general (</w:t>
            </w:r>
            <w:r w:rsidRPr="00484DAD">
              <w:t>OAG</w:t>
            </w:r>
            <w:r w:rsidR="004E6460">
              <w:t>)</w:t>
            </w:r>
            <w:r w:rsidRPr="00484DAD">
              <w:t xml:space="preserve"> has interpreted those protections narrowly. Specifically, the </w:t>
            </w:r>
            <w:r w:rsidR="004E6460">
              <w:t xml:space="preserve">bill sponsor has informed the committee that </w:t>
            </w:r>
            <w:r w:rsidRPr="00484DAD">
              <w:t>OAG has limited protection to document</w:t>
            </w:r>
            <w:r w:rsidRPr="00484DAD">
              <w:t xml:space="preserve">s included in the initial application </w:t>
            </w:r>
            <w:r w:rsidR="004E6460">
              <w:t xml:space="preserve">and has </w:t>
            </w:r>
            <w:r w:rsidRPr="00484DAD">
              <w:t>exclud</w:t>
            </w:r>
            <w:r w:rsidR="004E6460">
              <w:t>ed</w:t>
            </w:r>
            <w:r w:rsidRPr="00484DAD">
              <w:t xml:space="preserve"> materials submitted throughout the review process or developed by the PUC and its consultants</w:t>
            </w:r>
            <w:r w:rsidR="004E6460">
              <w:t>, leaving</w:t>
            </w:r>
            <w:r w:rsidRPr="00484DAD">
              <w:t xml:space="preserve"> proprietary and commercially sensitive information to disclosure under </w:t>
            </w:r>
            <w:r w:rsidR="003F4676">
              <w:t>state public information law.</w:t>
            </w:r>
            <w:r>
              <w:t xml:space="preserve"> </w:t>
            </w:r>
            <w:r w:rsidRPr="00484DAD">
              <w:t>C.S.S.B</w:t>
            </w:r>
            <w:r w:rsidR="005456AC" w:rsidRPr="00484DAD">
              <w:t>.</w:t>
            </w:r>
            <w:r w:rsidR="005456AC">
              <w:t> </w:t>
            </w:r>
            <w:r w:rsidRPr="00484DAD">
              <w:t xml:space="preserve">2268 </w:t>
            </w:r>
            <w:r w:rsidR="004E6460">
              <w:t xml:space="preserve">seeks to </w:t>
            </w:r>
            <w:r w:rsidRPr="00484DAD">
              <w:t>address both the flexibility and confidentiality concerns identified in the administration of the Texas Energy Fund</w:t>
            </w:r>
            <w:r w:rsidR="004E6460">
              <w:t xml:space="preserve"> by</w:t>
            </w:r>
            <w:r w:rsidRPr="00484DAD">
              <w:t xml:space="preserve"> extend</w:t>
            </w:r>
            <w:r w:rsidR="004E6460">
              <w:t>ing</w:t>
            </w:r>
            <w:r w:rsidRPr="00484DAD">
              <w:t xml:space="preserve"> the </w:t>
            </w:r>
            <w:r w:rsidR="005456AC">
              <w:t>PUC'</w:t>
            </w:r>
            <w:r w:rsidR="005456AC" w:rsidRPr="00484DAD">
              <w:t xml:space="preserve">s </w:t>
            </w:r>
            <w:r w:rsidRPr="00484DAD">
              <w:t xml:space="preserve">authority to disburse initial loan funds after </w:t>
            </w:r>
            <w:r w:rsidR="005456AC" w:rsidRPr="00484DAD">
              <w:t>December</w:t>
            </w:r>
            <w:r w:rsidR="005456AC">
              <w:t> </w:t>
            </w:r>
            <w:r w:rsidRPr="00484DAD">
              <w:t>31, 2025, if market factors justify</w:t>
            </w:r>
            <w:r w:rsidRPr="00484DAD">
              <w:t xml:space="preserve"> an extension, and </w:t>
            </w:r>
            <w:r w:rsidR="00167101" w:rsidRPr="00167101">
              <w:t>by clarifying</w:t>
            </w:r>
            <w:r w:rsidRPr="00167101">
              <w:t xml:space="preserve"> that </w:t>
            </w:r>
            <w:r w:rsidRPr="00B37835">
              <w:t xml:space="preserve">any information submitted at any time for the purpose of enabling the </w:t>
            </w:r>
            <w:r w:rsidR="00167101" w:rsidRPr="00B37835">
              <w:t xml:space="preserve">PUC </w:t>
            </w:r>
            <w:r w:rsidRPr="00B37835">
              <w:t xml:space="preserve">to make a determination on the award of a grant or loan is confidential and not subject to disclosure under </w:t>
            </w:r>
            <w:r w:rsidR="00167101" w:rsidRPr="00B37835">
              <w:t>state public information law</w:t>
            </w:r>
            <w:r w:rsidRPr="00B37835">
              <w:t xml:space="preserve">. </w:t>
            </w:r>
          </w:p>
          <w:p w14:paraId="5CDC7D22" w14:textId="77777777" w:rsidR="008423E4" w:rsidRPr="00E26B13" w:rsidRDefault="008423E4" w:rsidP="003A3CA7">
            <w:pPr>
              <w:rPr>
                <w:b/>
              </w:rPr>
            </w:pPr>
          </w:p>
        </w:tc>
      </w:tr>
      <w:tr w:rsidR="009D371A" w14:paraId="7DF8A2E3" w14:textId="77777777" w:rsidTr="00345119">
        <w:tc>
          <w:tcPr>
            <w:tcW w:w="9576" w:type="dxa"/>
          </w:tcPr>
          <w:p w14:paraId="102E29FE" w14:textId="77777777" w:rsidR="0017725B" w:rsidRDefault="005E3617" w:rsidP="003A3CA7">
            <w:pPr>
              <w:rPr>
                <w:b/>
                <w:u w:val="single"/>
              </w:rPr>
            </w:pPr>
            <w:r>
              <w:rPr>
                <w:b/>
                <w:u w:val="single"/>
              </w:rPr>
              <w:t>CRIMINAL JUSTICE IMPACT</w:t>
            </w:r>
          </w:p>
          <w:p w14:paraId="560DA71A" w14:textId="77777777" w:rsidR="0017725B" w:rsidRDefault="0017725B" w:rsidP="003A3CA7">
            <w:pPr>
              <w:rPr>
                <w:b/>
                <w:u w:val="single"/>
              </w:rPr>
            </w:pPr>
          </w:p>
          <w:p w14:paraId="0846606C" w14:textId="0EEDD3B9" w:rsidR="00B02B50" w:rsidRPr="00B02B50" w:rsidRDefault="005E3617" w:rsidP="003A3CA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956B208" w14:textId="77777777" w:rsidR="0017725B" w:rsidRPr="0017725B" w:rsidRDefault="0017725B" w:rsidP="003A3CA7">
            <w:pPr>
              <w:rPr>
                <w:b/>
                <w:u w:val="single"/>
              </w:rPr>
            </w:pPr>
          </w:p>
        </w:tc>
      </w:tr>
      <w:tr w:rsidR="009D371A" w14:paraId="691475D3" w14:textId="77777777" w:rsidTr="00345119">
        <w:tc>
          <w:tcPr>
            <w:tcW w:w="9576" w:type="dxa"/>
          </w:tcPr>
          <w:p w14:paraId="468DD154" w14:textId="77777777" w:rsidR="008423E4" w:rsidRPr="00A8133F" w:rsidRDefault="005E3617" w:rsidP="003A3CA7">
            <w:pPr>
              <w:rPr>
                <w:b/>
              </w:rPr>
            </w:pPr>
            <w:r w:rsidRPr="009C1E9A">
              <w:rPr>
                <w:b/>
                <w:u w:val="single"/>
              </w:rPr>
              <w:t>RULEMAKING AUTHORITY</w:t>
            </w:r>
            <w:r>
              <w:rPr>
                <w:b/>
              </w:rPr>
              <w:t xml:space="preserve"> </w:t>
            </w:r>
          </w:p>
          <w:p w14:paraId="49A46EE3" w14:textId="77777777" w:rsidR="008423E4" w:rsidRDefault="008423E4" w:rsidP="003A3CA7"/>
          <w:p w14:paraId="3CAB273C" w14:textId="0D0D05C9" w:rsidR="00B02B50" w:rsidRDefault="005E3617" w:rsidP="003A3CA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3B0FD2BD" w14:textId="77777777" w:rsidR="008423E4" w:rsidRPr="00E21FDC" w:rsidRDefault="008423E4" w:rsidP="003A3CA7">
            <w:pPr>
              <w:rPr>
                <w:b/>
              </w:rPr>
            </w:pPr>
          </w:p>
        </w:tc>
      </w:tr>
      <w:tr w:rsidR="009D371A" w14:paraId="2BBE2F4B" w14:textId="77777777" w:rsidTr="00345119">
        <w:tc>
          <w:tcPr>
            <w:tcW w:w="9576" w:type="dxa"/>
          </w:tcPr>
          <w:p w14:paraId="50F8FF56" w14:textId="77777777" w:rsidR="008423E4" w:rsidRPr="00A8133F" w:rsidRDefault="005E3617" w:rsidP="003A3CA7">
            <w:pPr>
              <w:rPr>
                <w:b/>
              </w:rPr>
            </w:pPr>
            <w:r w:rsidRPr="009C1E9A">
              <w:rPr>
                <w:b/>
                <w:u w:val="single"/>
              </w:rPr>
              <w:t>ANALYSIS</w:t>
            </w:r>
            <w:r>
              <w:rPr>
                <w:b/>
              </w:rPr>
              <w:t xml:space="preserve"> </w:t>
            </w:r>
          </w:p>
          <w:p w14:paraId="7B685E5B" w14:textId="77777777" w:rsidR="008423E4" w:rsidRDefault="008423E4" w:rsidP="003A3CA7"/>
          <w:p w14:paraId="42E29005" w14:textId="77985240" w:rsidR="0004227F" w:rsidRDefault="005E3617" w:rsidP="003A3CA7">
            <w:pPr>
              <w:pStyle w:val="Header"/>
              <w:tabs>
                <w:tab w:val="clear" w:pos="4320"/>
                <w:tab w:val="clear" w:pos="8640"/>
              </w:tabs>
              <w:jc w:val="both"/>
            </w:pPr>
            <w:r>
              <w:t>C.S.S.B.</w:t>
            </w:r>
            <w:r w:rsidR="00D23D40">
              <w:t xml:space="preserve"> </w:t>
            </w:r>
            <w:r>
              <w:t>2268</w:t>
            </w:r>
            <w:r w:rsidR="00D23D40">
              <w:t xml:space="preserve"> amends the Utilities Code </w:t>
            </w:r>
            <w:r w:rsidR="00B02B50">
              <w:t xml:space="preserve">to </w:t>
            </w:r>
            <w:r w:rsidR="00B31477">
              <w:t xml:space="preserve">authorize </w:t>
            </w:r>
            <w:r w:rsidR="00B31477" w:rsidRPr="00B31477">
              <w:t xml:space="preserve">a construction loan provided to a municipally owned utility, or an instrumentality of a municipal corporation established for the benefit of a municipally owned utility, </w:t>
            </w:r>
            <w:r w:rsidR="00B31477">
              <w:t xml:space="preserve">to </w:t>
            </w:r>
            <w:r w:rsidR="00B31477" w:rsidRPr="00B31477">
              <w:t>be in the form of a public security, as defined by</w:t>
            </w:r>
            <w:r w:rsidR="00B31477">
              <w:t xml:space="preserve"> reference to </w:t>
            </w:r>
            <w:r w:rsidR="00B31477" w:rsidRPr="00B31477">
              <w:t>the Public Security Procedures Act</w:t>
            </w:r>
            <w:r w:rsidR="00B31477">
              <w:t xml:space="preserve">, </w:t>
            </w:r>
            <w:r w:rsidR="00B31477" w:rsidRPr="00B31477">
              <w:t>issued by the loan applicant if the public security is payable on a parity basis with other debt of the loan applicant secured by a senior lien on net revenues of the facility or the loan applicant's utility system.</w:t>
            </w:r>
            <w:r w:rsidR="00F423E8">
              <w:t xml:space="preserve"> </w:t>
            </w:r>
            <w:r>
              <w:t xml:space="preserve">This authorization applies to a loan the application for which was submitted under statutory provisions relating to loans for </w:t>
            </w:r>
            <w:r w:rsidR="00381ED7">
              <w:t xml:space="preserve">the </w:t>
            </w:r>
            <w:r>
              <w:t xml:space="preserve">ERCOT power region </w:t>
            </w:r>
            <w:r w:rsidR="00865CAF">
              <w:t xml:space="preserve">to the Public Utility Commission of Texas (PUC) before the bill's effective date if the application is pending before the PUC on the bill's effective date. </w:t>
            </w:r>
          </w:p>
          <w:p w14:paraId="3B0A332C" w14:textId="77777777" w:rsidR="00865CAF" w:rsidRDefault="00865CAF" w:rsidP="003A3CA7">
            <w:pPr>
              <w:pStyle w:val="Header"/>
              <w:tabs>
                <w:tab w:val="clear" w:pos="4320"/>
                <w:tab w:val="clear" w:pos="8640"/>
              </w:tabs>
              <w:jc w:val="both"/>
            </w:pPr>
          </w:p>
          <w:p w14:paraId="6DF8BA46" w14:textId="69D89A19" w:rsidR="009C36CD" w:rsidRDefault="005E3617" w:rsidP="003A3CA7">
            <w:pPr>
              <w:pStyle w:val="Header"/>
              <w:tabs>
                <w:tab w:val="clear" w:pos="4320"/>
                <w:tab w:val="clear" w:pos="8640"/>
              </w:tabs>
              <w:jc w:val="both"/>
            </w:pPr>
            <w:r>
              <w:t>C.S.S.B. 2268</w:t>
            </w:r>
            <w:r w:rsidR="00381ED7">
              <w:t>,</w:t>
            </w:r>
            <w:r>
              <w:t xml:space="preserve"> </w:t>
            </w:r>
            <w:r w:rsidR="00F423E8">
              <w:t xml:space="preserve">with respect to the prohibition against outstanding loans provided under </w:t>
            </w:r>
            <w:r w:rsidR="003E6449" w:rsidRPr="00B02B50">
              <w:t>Public Utility Regulatory Act</w:t>
            </w:r>
            <w:r w:rsidR="00F423E8">
              <w:t xml:space="preserve"> provisions relating to loans for </w:t>
            </w:r>
            <w:r w:rsidR="00381ED7">
              <w:t xml:space="preserve">the </w:t>
            </w:r>
            <w:r w:rsidR="00F423E8">
              <w:t>ERCOT power region and grants provided under statutory provisions relating to completion bonus grant</w:t>
            </w:r>
            <w:r w:rsidR="00381ED7">
              <w:t>s</w:t>
            </w:r>
            <w:r w:rsidR="00F423E8">
              <w:t xml:space="preserve">, considered together, supporting </w:t>
            </w:r>
            <w:r w:rsidR="00F423E8" w:rsidRPr="00F423E8">
              <w:t>the addition or construction of more than 10,000 megawatts of generation capacity</w:t>
            </w:r>
            <w:r w:rsidR="00F423E8">
              <w:t xml:space="preserve">, </w:t>
            </w:r>
            <w:r w:rsidR="00381ED7">
              <w:t xml:space="preserve">removes the </w:t>
            </w:r>
            <w:r w:rsidR="00F423E8">
              <w:t>specif</w:t>
            </w:r>
            <w:r w:rsidR="00381ED7">
              <w:t>ication</w:t>
            </w:r>
            <w:r w:rsidR="00F423E8">
              <w:t xml:space="preserve"> </w:t>
            </w:r>
            <w:r w:rsidR="00381ED7">
              <w:t xml:space="preserve">of </w:t>
            </w:r>
            <w:r w:rsidR="00F423E8">
              <w:t>the completion bonus grants</w:t>
            </w:r>
            <w:r w:rsidR="00381ED7">
              <w:t>, considered together</w:t>
            </w:r>
            <w:r w:rsidR="00F423E8">
              <w:t xml:space="preserve">. </w:t>
            </w:r>
            <w:r w:rsidR="0056755A">
              <w:t xml:space="preserve">The bill </w:t>
            </w:r>
            <w:r w:rsidR="00B02B50">
              <w:t>replace</w:t>
            </w:r>
            <w:r w:rsidR="00B31477">
              <w:t>s</w:t>
            </w:r>
            <w:r w:rsidR="00B02B50" w:rsidRPr="00B02B50">
              <w:t xml:space="preserve"> </w:t>
            </w:r>
            <w:r w:rsidR="00864DA0">
              <w:t>the</w:t>
            </w:r>
            <w:r w:rsidR="00B02B50">
              <w:t xml:space="preserve"> prohibition against the PUC </w:t>
            </w:r>
            <w:r w:rsidR="00B02B50" w:rsidRPr="00B02B50">
              <w:t>disburs</w:t>
            </w:r>
            <w:r w:rsidR="00B02B50">
              <w:t>ing</w:t>
            </w:r>
            <w:r w:rsidR="00B02B50" w:rsidRPr="00B02B50">
              <w:t xml:space="preserve"> the initial funds for a loan under Public Utility Regulatory Act</w:t>
            </w:r>
            <w:r w:rsidR="00B02B50">
              <w:t xml:space="preserve"> </w:t>
            </w:r>
            <w:r w:rsidR="00973811">
              <w:t xml:space="preserve">provisions governing loans for the ERCOT power region </w:t>
            </w:r>
            <w:r w:rsidR="00B02B50" w:rsidRPr="00B02B50">
              <w:t>after December 31, 2025</w:t>
            </w:r>
            <w:r w:rsidR="00864DA0">
              <w:t>,</w:t>
            </w:r>
            <w:r w:rsidR="00973811">
              <w:t xml:space="preserve"> with an authorization for the PUC to disburse those initial funds </w:t>
            </w:r>
            <w:r w:rsidR="00864DA0">
              <w:t>after that date if the PUC</w:t>
            </w:r>
            <w:r w:rsidR="00973811">
              <w:t xml:space="preserve"> determin</w:t>
            </w:r>
            <w:r w:rsidR="00864DA0">
              <w:t>es</w:t>
            </w:r>
            <w:r w:rsidR="00973811">
              <w:t xml:space="preserve"> </w:t>
            </w:r>
            <w:r w:rsidR="00973811" w:rsidRPr="00973811">
              <w:t xml:space="preserve">that market factors necessitate an extension of the deadline for disbursement of initial funds. </w:t>
            </w:r>
            <w:r w:rsidR="00973811">
              <w:t>The bill authorizes a</w:t>
            </w:r>
            <w:r w:rsidR="00973811" w:rsidRPr="00973811">
              <w:t xml:space="preserve">n applicant </w:t>
            </w:r>
            <w:r w:rsidR="00973811">
              <w:t>to</w:t>
            </w:r>
            <w:r w:rsidR="00973811" w:rsidRPr="00973811">
              <w:t xml:space="preserve"> request disbursement of initial funds after </w:t>
            </w:r>
            <w:r w:rsidR="006A45FA" w:rsidRPr="00973811">
              <w:t>December</w:t>
            </w:r>
            <w:r w:rsidR="006A45FA">
              <w:t> </w:t>
            </w:r>
            <w:r w:rsidR="00973811" w:rsidRPr="00973811">
              <w:t>31, 2025</w:t>
            </w:r>
            <w:r w:rsidR="00864DA0">
              <w:t>,</w:t>
            </w:r>
            <w:r w:rsidR="00973811">
              <w:t xml:space="preserve"> and requires the PUC to</w:t>
            </w:r>
            <w:r w:rsidR="00973811" w:rsidRPr="00973811">
              <w:t xml:space="preserve"> approve or deny the request on a case-by-case basis.</w:t>
            </w:r>
          </w:p>
          <w:p w14:paraId="2345A9EC" w14:textId="77777777" w:rsidR="00811E49" w:rsidRDefault="00811E49" w:rsidP="003A3CA7">
            <w:pPr>
              <w:pStyle w:val="Header"/>
              <w:tabs>
                <w:tab w:val="clear" w:pos="4320"/>
                <w:tab w:val="clear" w:pos="8640"/>
              </w:tabs>
              <w:jc w:val="both"/>
            </w:pPr>
          </w:p>
          <w:p w14:paraId="7026860D" w14:textId="33EE8750" w:rsidR="00811E49" w:rsidRDefault="005E3617" w:rsidP="003A3CA7">
            <w:pPr>
              <w:pStyle w:val="Header"/>
              <w:tabs>
                <w:tab w:val="clear" w:pos="4320"/>
                <w:tab w:val="clear" w:pos="8640"/>
              </w:tabs>
              <w:jc w:val="both"/>
            </w:pPr>
            <w:r>
              <w:t xml:space="preserve">C.S.S.B. 2268 replaces provisions establishing that information submitted to the PUC in an application for a grant for facilities outside </w:t>
            </w:r>
            <w:r w:rsidR="003E6449">
              <w:t xml:space="preserve">the </w:t>
            </w:r>
            <w:r>
              <w:t xml:space="preserve">ERCOT power region, for a loan for </w:t>
            </w:r>
            <w:r w:rsidR="003E6449">
              <w:t xml:space="preserve">the </w:t>
            </w:r>
            <w:r>
              <w:t xml:space="preserve">ERCOT power region, or for a completion bonus grant, as applicable, is confidential and not subject to state public information law with provisions establishing that information submitted to the PUC </w:t>
            </w:r>
            <w:r w:rsidRPr="00811E49">
              <w:t xml:space="preserve">at any time for the purpose of enabling the </w:t>
            </w:r>
            <w:r w:rsidR="0056755A">
              <w:t xml:space="preserve">PUC </w:t>
            </w:r>
            <w:r w:rsidRPr="00811E49">
              <w:t>to make a determination on the award of</w:t>
            </w:r>
            <w:r>
              <w:t xml:space="preserve"> </w:t>
            </w:r>
            <w:r w:rsidR="003E6449">
              <w:t>a</w:t>
            </w:r>
            <w:r>
              <w:t xml:space="preserve"> grant or loan, as applicable, is confidential and not subject to </w:t>
            </w:r>
            <w:r w:rsidR="003E6449">
              <w:t>state public information</w:t>
            </w:r>
            <w:r>
              <w:t xml:space="preserve"> law. </w:t>
            </w:r>
          </w:p>
          <w:p w14:paraId="3C702C56" w14:textId="77777777" w:rsidR="0004227F" w:rsidRDefault="0004227F" w:rsidP="003A3CA7">
            <w:pPr>
              <w:pStyle w:val="Header"/>
              <w:tabs>
                <w:tab w:val="clear" w:pos="4320"/>
                <w:tab w:val="clear" w:pos="8640"/>
              </w:tabs>
              <w:jc w:val="both"/>
            </w:pPr>
          </w:p>
          <w:p w14:paraId="676BD3DD" w14:textId="0CAC4227" w:rsidR="0004227F" w:rsidRDefault="005E3617" w:rsidP="003A3CA7">
            <w:pPr>
              <w:pStyle w:val="Header"/>
              <w:tabs>
                <w:tab w:val="clear" w:pos="4320"/>
                <w:tab w:val="clear" w:pos="8640"/>
              </w:tabs>
              <w:jc w:val="both"/>
            </w:pPr>
            <w:r>
              <w:t>C.S.S.B</w:t>
            </w:r>
            <w:r>
              <w:t xml:space="preserve">. 2268 prohibits completion bonus grants provided under applicable state law from supporting the </w:t>
            </w:r>
            <w:r w:rsidRPr="0004227F">
              <w:t>construction of more than 10,000 megawatts of generation capacity.</w:t>
            </w:r>
          </w:p>
          <w:p w14:paraId="3C39A39B" w14:textId="77777777" w:rsidR="0004227F" w:rsidRDefault="0004227F" w:rsidP="003A3CA7">
            <w:pPr>
              <w:pStyle w:val="Header"/>
              <w:tabs>
                <w:tab w:val="clear" w:pos="4320"/>
                <w:tab w:val="clear" w:pos="8640"/>
              </w:tabs>
              <w:jc w:val="both"/>
            </w:pPr>
          </w:p>
          <w:p w14:paraId="6863862F" w14:textId="60C9C906" w:rsidR="0004227F" w:rsidRPr="009C36CD" w:rsidRDefault="005E3617" w:rsidP="003A3CA7">
            <w:pPr>
              <w:pStyle w:val="Header"/>
              <w:tabs>
                <w:tab w:val="clear" w:pos="4320"/>
                <w:tab w:val="clear" w:pos="8640"/>
              </w:tabs>
              <w:jc w:val="both"/>
            </w:pPr>
            <w:r>
              <w:t xml:space="preserve">C.S.S.B. 2268 establishes that information submitted to the PUC </w:t>
            </w:r>
            <w:r w:rsidRPr="0004227F">
              <w:t xml:space="preserve">at any time for the purpose of enabling the </w:t>
            </w:r>
            <w:r>
              <w:t xml:space="preserve">PUC </w:t>
            </w:r>
            <w:r w:rsidRPr="0004227F">
              <w:t>to make a determination on the award of a grant or loan under</w:t>
            </w:r>
            <w:r>
              <w:t xml:space="preserve"> statutory provisions relating to </w:t>
            </w:r>
            <w:r w:rsidR="0009519F">
              <w:t>Texas Power Promise backup power packages</w:t>
            </w:r>
            <w:r>
              <w:t xml:space="preserve"> is confidential and not subject to disclosure under state public information law. </w:t>
            </w:r>
          </w:p>
          <w:p w14:paraId="7A0EFAF3" w14:textId="77777777" w:rsidR="008423E4" w:rsidRPr="00835628" w:rsidRDefault="008423E4" w:rsidP="003A3CA7">
            <w:pPr>
              <w:rPr>
                <w:b/>
              </w:rPr>
            </w:pPr>
          </w:p>
        </w:tc>
      </w:tr>
      <w:tr w:rsidR="009D371A" w14:paraId="27D11EB7" w14:textId="77777777" w:rsidTr="00345119">
        <w:tc>
          <w:tcPr>
            <w:tcW w:w="9576" w:type="dxa"/>
          </w:tcPr>
          <w:p w14:paraId="3A292331" w14:textId="77777777" w:rsidR="008423E4" w:rsidRPr="00A8133F" w:rsidRDefault="005E3617" w:rsidP="003A3CA7">
            <w:pPr>
              <w:rPr>
                <w:b/>
              </w:rPr>
            </w:pPr>
            <w:r w:rsidRPr="009C1E9A">
              <w:rPr>
                <w:b/>
                <w:u w:val="single"/>
              </w:rPr>
              <w:t>EFFECTIVE DATE</w:t>
            </w:r>
            <w:r>
              <w:rPr>
                <w:b/>
              </w:rPr>
              <w:t xml:space="preserve"> </w:t>
            </w:r>
          </w:p>
          <w:p w14:paraId="5737EB90" w14:textId="77777777" w:rsidR="008423E4" w:rsidRDefault="008423E4" w:rsidP="003A3CA7"/>
          <w:p w14:paraId="1754C836" w14:textId="3831D787" w:rsidR="008423E4" w:rsidRPr="003624F2" w:rsidRDefault="005E3617" w:rsidP="003A3CA7">
            <w:pPr>
              <w:pStyle w:val="Header"/>
              <w:tabs>
                <w:tab w:val="clear" w:pos="4320"/>
                <w:tab w:val="clear" w:pos="8640"/>
              </w:tabs>
              <w:jc w:val="both"/>
            </w:pPr>
            <w:r>
              <w:t>On passage, or, if the bill does not receive the necessary vote, September 1, 2025.</w:t>
            </w:r>
          </w:p>
          <w:p w14:paraId="2A916B60" w14:textId="77777777" w:rsidR="008423E4" w:rsidRPr="00233FDB" w:rsidRDefault="008423E4" w:rsidP="003A3CA7">
            <w:pPr>
              <w:rPr>
                <w:b/>
              </w:rPr>
            </w:pPr>
          </w:p>
        </w:tc>
      </w:tr>
      <w:tr w:rsidR="009D371A" w14:paraId="323CDA99" w14:textId="77777777" w:rsidTr="00345119">
        <w:tc>
          <w:tcPr>
            <w:tcW w:w="9576" w:type="dxa"/>
          </w:tcPr>
          <w:p w14:paraId="3F1A4E3D" w14:textId="77777777" w:rsidR="00094987" w:rsidRDefault="005E3617" w:rsidP="003A3CA7">
            <w:pPr>
              <w:jc w:val="both"/>
              <w:rPr>
                <w:b/>
                <w:u w:val="single"/>
              </w:rPr>
            </w:pPr>
            <w:r>
              <w:rPr>
                <w:b/>
                <w:u w:val="single"/>
              </w:rPr>
              <w:t>COMPARISON OF SENATE ENGROSSED AND SUBSTITUTE</w:t>
            </w:r>
          </w:p>
          <w:p w14:paraId="5C8DCF11" w14:textId="77777777" w:rsidR="0056755A" w:rsidRDefault="0056755A" w:rsidP="003A3CA7">
            <w:pPr>
              <w:jc w:val="both"/>
            </w:pPr>
          </w:p>
          <w:p w14:paraId="0932E643" w14:textId="226DB5F3" w:rsidR="0056755A" w:rsidRDefault="005E3617" w:rsidP="003A3CA7">
            <w:pPr>
              <w:jc w:val="both"/>
            </w:pPr>
            <w:r>
              <w:t>While C.S.S.B. 2268 may differ from the engrossed in minor or nonsubstantive ways, the following summarizes the substantial differences between the engrossed and committee substitute versions of the bill.</w:t>
            </w:r>
          </w:p>
          <w:p w14:paraId="5076A3EA" w14:textId="77777777" w:rsidR="00DD4A79" w:rsidRDefault="00DD4A79" w:rsidP="003A3CA7">
            <w:pPr>
              <w:jc w:val="both"/>
            </w:pPr>
          </w:p>
          <w:p w14:paraId="7C520B06" w14:textId="736F3592" w:rsidR="00DD4A79" w:rsidRDefault="005E3617" w:rsidP="003A3CA7">
            <w:pPr>
              <w:jc w:val="both"/>
            </w:pPr>
            <w:r>
              <w:t>The substitute includes the following provisions absent from the engrossed:</w:t>
            </w:r>
          </w:p>
          <w:p w14:paraId="4CB5B6CD" w14:textId="792F9485" w:rsidR="00C72B10" w:rsidRDefault="005E3617" w:rsidP="003A3CA7">
            <w:pPr>
              <w:pStyle w:val="ListParagraph"/>
              <w:numPr>
                <w:ilvl w:val="0"/>
                <w:numId w:val="1"/>
              </w:numPr>
              <w:jc w:val="both"/>
            </w:pPr>
            <w:r>
              <w:t xml:space="preserve">provisions replacing </w:t>
            </w:r>
            <w:r w:rsidRPr="00B81184">
              <w:t xml:space="preserve">provisions establishing that information submitted to the PUC in an application for a grant for facilities outside ERCOT power region, for a loan for ERCOT power region, or for a completion bonus grant, as applicable, is confidential and not subject to state public information law with provisions establishing that information submitted to the PUC at any time for the purpose of enabling the PUC to make a determination on the award of </w:t>
            </w:r>
            <w:r w:rsidR="00B7375B">
              <w:t>a</w:t>
            </w:r>
            <w:r w:rsidRPr="00B81184">
              <w:t xml:space="preserve"> grant or loan, as applicable, is confidential and not subject to </w:t>
            </w:r>
            <w:r w:rsidR="00B7375B" w:rsidRPr="00B81184">
              <w:t xml:space="preserve">state public information </w:t>
            </w:r>
            <w:r w:rsidRPr="00B81184">
              <w:t xml:space="preserve"> law</w:t>
            </w:r>
            <w:r w:rsidR="00B7375B">
              <w:t>.</w:t>
            </w:r>
          </w:p>
          <w:p w14:paraId="7F0C9CB6" w14:textId="3161BBE3" w:rsidR="00B81184" w:rsidRDefault="005E3617" w:rsidP="003A3CA7">
            <w:pPr>
              <w:pStyle w:val="ListParagraph"/>
              <w:numPr>
                <w:ilvl w:val="0"/>
                <w:numId w:val="1"/>
              </w:numPr>
              <w:jc w:val="both"/>
            </w:pPr>
            <w:r>
              <w:t xml:space="preserve">a provision establishing </w:t>
            </w:r>
            <w:r w:rsidRPr="00452353">
              <w:t xml:space="preserve">that information submitted to the PUC at any time for the purpose of enabling the PUC to make a determination on the award of a grant or loan under statutory provisions relating to </w:t>
            </w:r>
            <w:r w:rsidR="00ED694F">
              <w:t xml:space="preserve">Texas Power Promise backup power packages </w:t>
            </w:r>
            <w:r w:rsidRPr="00452353">
              <w:t>is confidential and not subject to disclosure under state public information law.</w:t>
            </w:r>
          </w:p>
          <w:p w14:paraId="14739C38" w14:textId="474DA800" w:rsidR="0056755A" w:rsidRPr="0056755A" w:rsidRDefault="0056755A" w:rsidP="003A3CA7">
            <w:pPr>
              <w:jc w:val="both"/>
            </w:pPr>
          </w:p>
        </w:tc>
      </w:tr>
      <w:tr w:rsidR="009D371A" w14:paraId="730E5C57" w14:textId="77777777" w:rsidTr="00345119">
        <w:tc>
          <w:tcPr>
            <w:tcW w:w="9576" w:type="dxa"/>
          </w:tcPr>
          <w:p w14:paraId="4B681585" w14:textId="77777777" w:rsidR="00094987" w:rsidRPr="009C1E9A" w:rsidRDefault="00094987" w:rsidP="003A3CA7">
            <w:pPr>
              <w:rPr>
                <w:b/>
                <w:u w:val="single"/>
              </w:rPr>
            </w:pPr>
          </w:p>
        </w:tc>
      </w:tr>
      <w:tr w:rsidR="009D371A" w14:paraId="2F9DD695" w14:textId="77777777" w:rsidTr="00345119">
        <w:tc>
          <w:tcPr>
            <w:tcW w:w="9576" w:type="dxa"/>
          </w:tcPr>
          <w:p w14:paraId="6396EA0D" w14:textId="77777777" w:rsidR="00094987" w:rsidRPr="00094987" w:rsidRDefault="00094987" w:rsidP="003A3CA7">
            <w:pPr>
              <w:jc w:val="both"/>
            </w:pPr>
          </w:p>
        </w:tc>
      </w:tr>
    </w:tbl>
    <w:p w14:paraId="1C9407FB" w14:textId="77777777" w:rsidR="008423E4" w:rsidRPr="00BE0E75" w:rsidRDefault="008423E4" w:rsidP="003A3CA7">
      <w:pPr>
        <w:jc w:val="both"/>
        <w:rPr>
          <w:rFonts w:ascii="Arial" w:hAnsi="Arial"/>
          <w:sz w:val="16"/>
          <w:szCs w:val="16"/>
        </w:rPr>
      </w:pPr>
    </w:p>
    <w:p w14:paraId="7602F62E" w14:textId="77777777" w:rsidR="004108C3" w:rsidRPr="008423E4" w:rsidRDefault="004108C3" w:rsidP="003A3CA7"/>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FB5B0" w14:textId="77777777" w:rsidR="005E3617" w:rsidRDefault="005E3617">
      <w:r>
        <w:separator/>
      </w:r>
    </w:p>
  </w:endnote>
  <w:endnote w:type="continuationSeparator" w:id="0">
    <w:p w14:paraId="1BC25B05" w14:textId="77777777" w:rsidR="005E3617" w:rsidRDefault="005E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C1C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9D371A" w14:paraId="5DF8EC1F" w14:textId="77777777" w:rsidTr="009C1E9A">
      <w:trPr>
        <w:cantSplit/>
      </w:trPr>
      <w:tc>
        <w:tcPr>
          <w:tcW w:w="0" w:type="pct"/>
        </w:tcPr>
        <w:p w14:paraId="43305ED5" w14:textId="77777777" w:rsidR="00137D90" w:rsidRDefault="00137D90" w:rsidP="009C1E9A">
          <w:pPr>
            <w:pStyle w:val="Footer"/>
            <w:tabs>
              <w:tab w:val="clear" w:pos="8640"/>
              <w:tab w:val="right" w:pos="9360"/>
            </w:tabs>
          </w:pPr>
        </w:p>
      </w:tc>
      <w:tc>
        <w:tcPr>
          <w:tcW w:w="2395" w:type="pct"/>
        </w:tcPr>
        <w:p w14:paraId="31B2F51C" w14:textId="77777777" w:rsidR="00137D90" w:rsidRDefault="00137D90" w:rsidP="009C1E9A">
          <w:pPr>
            <w:pStyle w:val="Footer"/>
            <w:tabs>
              <w:tab w:val="clear" w:pos="8640"/>
              <w:tab w:val="right" w:pos="9360"/>
            </w:tabs>
          </w:pPr>
        </w:p>
        <w:p w14:paraId="397203F2" w14:textId="77777777" w:rsidR="001A4310" w:rsidRDefault="001A4310" w:rsidP="009C1E9A">
          <w:pPr>
            <w:pStyle w:val="Footer"/>
            <w:tabs>
              <w:tab w:val="clear" w:pos="8640"/>
              <w:tab w:val="right" w:pos="9360"/>
            </w:tabs>
          </w:pPr>
        </w:p>
        <w:p w14:paraId="660E2D68" w14:textId="77777777" w:rsidR="00137D90" w:rsidRDefault="00137D90" w:rsidP="009C1E9A">
          <w:pPr>
            <w:pStyle w:val="Footer"/>
            <w:tabs>
              <w:tab w:val="clear" w:pos="8640"/>
              <w:tab w:val="right" w:pos="9360"/>
            </w:tabs>
          </w:pPr>
        </w:p>
      </w:tc>
      <w:tc>
        <w:tcPr>
          <w:tcW w:w="2453" w:type="pct"/>
        </w:tcPr>
        <w:p w14:paraId="48F0EE75" w14:textId="77777777" w:rsidR="00137D90" w:rsidRDefault="00137D90" w:rsidP="009C1E9A">
          <w:pPr>
            <w:pStyle w:val="Footer"/>
            <w:tabs>
              <w:tab w:val="clear" w:pos="8640"/>
              <w:tab w:val="right" w:pos="9360"/>
            </w:tabs>
            <w:jc w:val="right"/>
          </w:pPr>
        </w:p>
      </w:tc>
    </w:tr>
    <w:tr w:rsidR="009D371A" w14:paraId="44666FF5" w14:textId="77777777" w:rsidTr="009C1E9A">
      <w:trPr>
        <w:cantSplit/>
      </w:trPr>
      <w:tc>
        <w:tcPr>
          <w:tcW w:w="0" w:type="pct"/>
        </w:tcPr>
        <w:p w14:paraId="31875780" w14:textId="77777777" w:rsidR="00EC379B" w:rsidRDefault="00EC379B" w:rsidP="009C1E9A">
          <w:pPr>
            <w:pStyle w:val="Footer"/>
            <w:tabs>
              <w:tab w:val="clear" w:pos="8640"/>
              <w:tab w:val="right" w:pos="9360"/>
            </w:tabs>
          </w:pPr>
        </w:p>
      </w:tc>
      <w:tc>
        <w:tcPr>
          <w:tcW w:w="2395" w:type="pct"/>
        </w:tcPr>
        <w:p w14:paraId="3034951B" w14:textId="39D8A7E5" w:rsidR="00EC379B" w:rsidRPr="009C1E9A" w:rsidRDefault="005E3617" w:rsidP="009C1E9A">
          <w:pPr>
            <w:pStyle w:val="Footer"/>
            <w:tabs>
              <w:tab w:val="clear" w:pos="8640"/>
              <w:tab w:val="right" w:pos="9360"/>
            </w:tabs>
            <w:rPr>
              <w:rFonts w:ascii="Shruti" w:hAnsi="Shruti"/>
              <w:sz w:val="22"/>
            </w:rPr>
          </w:pPr>
          <w:r>
            <w:rPr>
              <w:rFonts w:ascii="Shruti" w:hAnsi="Shruti"/>
              <w:sz w:val="22"/>
            </w:rPr>
            <w:t>89R 30626-D</w:t>
          </w:r>
        </w:p>
      </w:tc>
      <w:tc>
        <w:tcPr>
          <w:tcW w:w="2453" w:type="pct"/>
        </w:tcPr>
        <w:p w14:paraId="6C48EAD9" w14:textId="56333BBC" w:rsidR="00EC379B" w:rsidRDefault="005E3617" w:rsidP="009C1E9A">
          <w:pPr>
            <w:pStyle w:val="Footer"/>
            <w:tabs>
              <w:tab w:val="clear" w:pos="8640"/>
              <w:tab w:val="right" w:pos="9360"/>
            </w:tabs>
            <w:jc w:val="right"/>
          </w:pPr>
          <w:r>
            <w:fldChar w:fldCharType="begin"/>
          </w:r>
          <w:r>
            <w:instrText xml:space="preserve"> DOCPROPERTY  OTID  \* MERGEFORMAT </w:instrText>
          </w:r>
          <w:r>
            <w:fldChar w:fldCharType="separate"/>
          </w:r>
          <w:r w:rsidR="008F0922">
            <w:t>25.134.490</w:t>
          </w:r>
          <w:r>
            <w:fldChar w:fldCharType="end"/>
          </w:r>
        </w:p>
      </w:tc>
    </w:tr>
    <w:tr w:rsidR="009D371A" w14:paraId="782ACC77" w14:textId="77777777" w:rsidTr="009C1E9A">
      <w:trPr>
        <w:cantSplit/>
      </w:trPr>
      <w:tc>
        <w:tcPr>
          <w:tcW w:w="0" w:type="pct"/>
        </w:tcPr>
        <w:p w14:paraId="28E1DDDA" w14:textId="77777777" w:rsidR="00EC379B" w:rsidRDefault="00EC379B" w:rsidP="009C1E9A">
          <w:pPr>
            <w:pStyle w:val="Footer"/>
            <w:tabs>
              <w:tab w:val="clear" w:pos="4320"/>
              <w:tab w:val="clear" w:pos="8640"/>
              <w:tab w:val="left" w:pos="2865"/>
            </w:tabs>
          </w:pPr>
        </w:p>
      </w:tc>
      <w:tc>
        <w:tcPr>
          <w:tcW w:w="2395" w:type="pct"/>
        </w:tcPr>
        <w:p w14:paraId="7C08B17C" w14:textId="783A2487" w:rsidR="00EC379B" w:rsidRPr="009C1E9A" w:rsidRDefault="005E3617" w:rsidP="009C1E9A">
          <w:pPr>
            <w:pStyle w:val="Footer"/>
            <w:tabs>
              <w:tab w:val="clear" w:pos="4320"/>
              <w:tab w:val="clear" w:pos="8640"/>
              <w:tab w:val="left" w:pos="2865"/>
            </w:tabs>
            <w:rPr>
              <w:rFonts w:ascii="Shruti" w:hAnsi="Shruti"/>
              <w:sz w:val="22"/>
            </w:rPr>
          </w:pPr>
          <w:r>
            <w:rPr>
              <w:rFonts w:ascii="Shruti" w:hAnsi="Shruti"/>
              <w:sz w:val="22"/>
            </w:rPr>
            <w:t>Substitute Document Number: 89R 29173</w:t>
          </w:r>
        </w:p>
      </w:tc>
      <w:tc>
        <w:tcPr>
          <w:tcW w:w="2453" w:type="pct"/>
        </w:tcPr>
        <w:p w14:paraId="748DD236" w14:textId="77777777" w:rsidR="00EC379B" w:rsidRDefault="00EC379B" w:rsidP="006D504F">
          <w:pPr>
            <w:pStyle w:val="Footer"/>
            <w:rPr>
              <w:rStyle w:val="PageNumber"/>
            </w:rPr>
          </w:pPr>
        </w:p>
        <w:p w14:paraId="7FC65EAB" w14:textId="77777777" w:rsidR="00EC379B" w:rsidRDefault="00EC379B" w:rsidP="009C1E9A">
          <w:pPr>
            <w:pStyle w:val="Footer"/>
            <w:tabs>
              <w:tab w:val="clear" w:pos="8640"/>
              <w:tab w:val="right" w:pos="9360"/>
            </w:tabs>
            <w:jc w:val="right"/>
          </w:pPr>
        </w:p>
      </w:tc>
    </w:tr>
    <w:tr w:rsidR="009D371A" w14:paraId="7117ED9B" w14:textId="77777777" w:rsidTr="009C1E9A">
      <w:trPr>
        <w:cantSplit/>
        <w:trHeight w:val="323"/>
      </w:trPr>
      <w:tc>
        <w:tcPr>
          <w:tcW w:w="0" w:type="pct"/>
          <w:gridSpan w:val="3"/>
        </w:tcPr>
        <w:p w14:paraId="1CF2E54C" w14:textId="77777777" w:rsidR="00EC379B" w:rsidRDefault="005E3617"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D535606" w14:textId="77777777" w:rsidR="00EC379B" w:rsidRDefault="00EC379B" w:rsidP="009C1E9A">
          <w:pPr>
            <w:pStyle w:val="Footer"/>
            <w:tabs>
              <w:tab w:val="clear" w:pos="8640"/>
              <w:tab w:val="right" w:pos="9360"/>
            </w:tabs>
            <w:jc w:val="center"/>
          </w:pPr>
        </w:p>
      </w:tc>
    </w:tr>
  </w:tbl>
  <w:p w14:paraId="3E0353D0"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DF5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B5665" w14:textId="77777777" w:rsidR="005E3617" w:rsidRDefault="005E3617">
      <w:r>
        <w:separator/>
      </w:r>
    </w:p>
  </w:footnote>
  <w:footnote w:type="continuationSeparator" w:id="0">
    <w:p w14:paraId="74119286" w14:textId="77777777" w:rsidR="005E3617" w:rsidRDefault="005E3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C5A9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F6C5"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25D2A"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775F4"/>
    <w:multiLevelType w:val="hybridMultilevel"/>
    <w:tmpl w:val="A8BA85E0"/>
    <w:lvl w:ilvl="0" w:tplc="D2742AF8">
      <w:start w:val="1"/>
      <w:numFmt w:val="bullet"/>
      <w:lvlText w:val=""/>
      <w:lvlJc w:val="left"/>
      <w:pPr>
        <w:tabs>
          <w:tab w:val="num" w:pos="720"/>
        </w:tabs>
        <w:ind w:left="720" w:hanging="360"/>
      </w:pPr>
      <w:rPr>
        <w:rFonts w:ascii="Symbol" w:hAnsi="Symbol" w:hint="default"/>
      </w:rPr>
    </w:lvl>
    <w:lvl w:ilvl="1" w:tplc="D14C0DF2" w:tentative="1">
      <w:start w:val="1"/>
      <w:numFmt w:val="bullet"/>
      <w:lvlText w:val="o"/>
      <w:lvlJc w:val="left"/>
      <w:pPr>
        <w:ind w:left="1440" w:hanging="360"/>
      </w:pPr>
      <w:rPr>
        <w:rFonts w:ascii="Courier New" w:hAnsi="Courier New" w:cs="Courier New" w:hint="default"/>
      </w:rPr>
    </w:lvl>
    <w:lvl w:ilvl="2" w:tplc="666811B8" w:tentative="1">
      <w:start w:val="1"/>
      <w:numFmt w:val="bullet"/>
      <w:lvlText w:val=""/>
      <w:lvlJc w:val="left"/>
      <w:pPr>
        <w:ind w:left="2160" w:hanging="360"/>
      </w:pPr>
      <w:rPr>
        <w:rFonts w:ascii="Wingdings" w:hAnsi="Wingdings" w:hint="default"/>
      </w:rPr>
    </w:lvl>
    <w:lvl w:ilvl="3" w:tplc="26A03DD6" w:tentative="1">
      <w:start w:val="1"/>
      <w:numFmt w:val="bullet"/>
      <w:lvlText w:val=""/>
      <w:lvlJc w:val="left"/>
      <w:pPr>
        <w:ind w:left="2880" w:hanging="360"/>
      </w:pPr>
      <w:rPr>
        <w:rFonts w:ascii="Symbol" w:hAnsi="Symbol" w:hint="default"/>
      </w:rPr>
    </w:lvl>
    <w:lvl w:ilvl="4" w:tplc="C7884AC0" w:tentative="1">
      <w:start w:val="1"/>
      <w:numFmt w:val="bullet"/>
      <w:lvlText w:val="o"/>
      <w:lvlJc w:val="left"/>
      <w:pPr>
        <w:ind w:left="3600" w:hanging="360"/>
      </w:pPr>
      <w:rPr>
        <w:rFonts w:ascii="Courier New" w:hAnsi="Courier New" w:cs="Courier New" w:hint="default"/>
      </w:rPr>
    </w:lvl>
    <w:lvl w:ilvl="5" w:tplc="2A7AE1AE" w:tentative="1">
      <w:start w:val="1"/>
      <w:numFmt w:val="bullet"/>
      <w:lvlText w:val=""/>
      <w:lvlJc w:val="left"/>
      <w:pPr>
        <w:ind w:left="4320" w:hanging="360"/>
      </w:pPr>
      <w:rPr>
        <w:rFonts w:ascii="Wingdings" w:hAnsi="Wingdings" w:hint="default"/>
      </w:rPr>
    </w:lvl>
    <w:lvl w:ilvl="6" w:tplc="73D40258" w:tentative="1">
      <w:start w:val="1"/>
      <w:numFmt w:val="bullet"/>
      <w:lvlText w:val=""/>
      <w:lvlJc w:val="left"/>
      <w:pPr>
        <w:ind w:left="5040" w:hanging="360"/>
      </w:pPr>
      <w:rPr>
        <w:rFonts w:ascii="Symbol" w:hAnsi="Symbol" w:hint="default"/>
      </w:rPr>
    </w:lvl>
    <w:lvl w:ilvl="7" w:tplc="233075A0" w:tentative="1">
      <w:start w:val="1"/>
      <w:numFmt w:val="bullet"/>
      <w:lvlText w:val="o"/>
      <w:lvlJc w:val="left"/>
      <w:pPr>
        <w:ind w:left="5760" w:hanging="360"/>
      </w:pPr>
      <w:rPr>
        <w:rFonts w:ascii="Courier New" w:hAnsi="Courier New" w:cs="Courier New" w:hint="default"/>
      </w:rPr>
    </w:lvl>
    <w:lvl w:ilvl="8" w:tplc="DFC2CD50" w:tentative="1">
      <w:start w:val="1"/>
      <w:numFmt w:val="bullet"/>
      <w:lvlText w:val=""/>
      <w:lvlJc w:val="left"/>
      <w:pPr>
        <w:ind w:left="6480" w:hanging="360"/>
      </w:pPr>
      <w:rPr>
        <w:rFonts w:ascii="Wingdings" w:hAnsi="Wingdings" w:hint="default"/>
      </w:rPr>
    </w:lvl>
  </w:abstractNum>
  <w:num w:numId="1" w16cid:durableId="1647973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E91"/>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227F"/>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4987"/>
    <w:rsid w:val="0009519F"/>
    <w:rsid w:val="00097AAF"/>
    <w:rsid w:val="00097D13"/>
    <w:rsid w:val="000A4893"/>
    <w:rsid w:val="000A54E0"/>
    <w:rsid w:val="000A72C4"/>
    <w:rsid w:val="000B0F30"/>
    <w:rsid w:val="000B1486"/>
    <w:rsid w:val="000B3E61"/>
    <w:rsid w:val="000B43DE"/>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651"/>
    <w:rsid w:val="00120797"/>
    <w:rsid w:val="001218D2"/>
    <w:rsid w:val="0012371B"/>
    <w:rsid w:val="001245C8"/>
    <w:rsid w:val="00124653"/>
    <w:rsid w:val="001247C5"/>
    <w:rsid w:val="00127893"/>
    <w:rsid w:val="001312BB"/>
    <w:rsid w:val="00137D90"/>
    <w:rsid w:val="00141FB6"/>
    <w:rsid w:val="00142F8E"/>
    <w:rsid w:val="0014376C"/>
    <w:rsid w:val="00143C8B"/>
    <w:rsid w:val="00147530"/>
    <w:rsid w:val="0015331F"/>
    <w:rsid w:val="00156AB2"/>
    <w:rsid w:val="00160402"/>
    <w:rsid w:val="00160571"/>
    <w:rsid w:val="00161E93"/>
    <w:rsid w:val="00162C7A"/>
    <w:rsid w:val="00162DAE"/>
    <w:rsid w:val="001639C5"/>
    <w:rsid w:val="00163E45"/>
    <w:rsid w:val="001664C2"/>
    <w:rsid w:val="00167101"/>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0B4"/>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26C2A"/>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61B3"/>
    <w:rsid w:val="00277434"/>
    <w:rsid w:val="00280123"/>
    <w:rsid w:val="00281343"/>
    <w:rsid w:val="00281883"/>
    <w:rsid w:val="002874E3"/>
    <w:rsid w:val="00287656"/>
    <w:rsid w:val="00291518"/>
    <w:rsid w:val="00296FF0"/>
    <w:rsid w:val="002A09E9"/>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263"/>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04D"/>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1ED7"/>
    <w:rsid w:val="003847E8"/>
    <w:rsid w:val="0038731D"/>
    <w:rsid w:val="00387B60"/>
    <w:rsid w:val="00390098"/>
    <w:rsid w:val="00392DA1"/>
    <w:rsid w:val="00393718"/>
    <w:rsid w:val="003A0296"/>
    <w:rsid w:val="003A10BC"/>
    <w:rsid w:val="003A3CA7"/>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449"/>
    <w:rsid w:val="003E6CB0"/>
    <w:rsid w:val="003F1F5E"/>
    <w:rsid w:val="003F2376"/>
    <w:rsid w:val="003F286A"/>
    <w:rsid w:val="003F4676"/>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2323"/>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353"/>
    <w:rsid w:val="00452FC3"/>
    <w:rsid w:val="00454715"/>
    <w:rsid w:val="00455936"/>
    <w:rsid w:val="00455ACE"/>
    <w:rsid w:val="00461B69"/>
    <w:rsid w:val="00462B3D"/>
    <w:rsid w:val="00474927"/>
    <w:rsid w:val="00475913"/>
    <w:rsid w:val="00480080"/>
    <w:rsid w:val="004824A7"/>
    <w:rsid w:val="00483AF0"/>
    <w:rsid w:val="00484167"/>
    <w:rsid w:val="00484DAD"/>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460"/>
    <w:rsid w:val="004E6639"/>
    <w:rsid w:val="004E6BAE"/>
    <w:rsid w:val="004F32AD"/>
    <w:rsid w:val="004F57CB"/>
    <w:rsid w:val="004F64F6"/>
    <w:rsid w:val="004F69C0"/>
    <w:rsid w:val="00500121"/>
    <w:rsid w:val="00500483"/>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56AC"/>
    <w:rsid w:val="00546923"/>
    <w:rsid w:val="00551CA6"/>
    <w:rsid w:val="00555034"/>
    <w:rsid w:val="005570D2"/>
    <w:rsid w:val="00561528"/>
    <w:rsid w:val="0056153F"/>
    <w:rsid w:val="00561B14"/>
    <w:rsid w:val="00562C87"/>
    <w:rsid w:val="005636BD"/>
    <w:rsid w:val="005666D5"/>
    <w:rsid w:val="005669A7"/>
    <w:rsid w:val="0056755A"/>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47B"/>
    <w:rsid w:val="005E1999"/>
    <w:rsid w:val="005E232C"/>
    <w:rsid w:val="005E2B83"/>
    <w:rsid w:val="005E3617"/>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6733"/>
    <w:rsid w:val="00607E64"/>
    <w:rsid w:val="006106E9"/>
    <w:rsid w:val="0061159E"/>
    <w:rsid w:val="00614633"/>
    <w:rsid w:val="00614BC8"/>
    <w:rsid w:val="006151FB"/>
    <w:rsid w:val="00615ED5"/>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45FA"/>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3F3F"/>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C748D"/>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1E49"/>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57BDE"/>
    <w:rsid w:val="00860020"/>
    <w:rsid w:val="008618E7"/>
    <w:rsid w:val="00861995"/>
    <w:rsid w:val="0086231A"/>
    <w:rsid w:val="0086477C"/>
    <w:rsid w:val="00864BAD"/>
    <w:rsid w:val="00864DA0"/>
    <w:rsid w:val="00865CAF"/>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56AD"/>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22"/>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3811"/>
    <w:rsid w:val="00973BEB"/>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1A"/>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038"/>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2EF1"/>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4ECF"/>
    <w:rsid w:val="00AF7C74"/>
    <w:rsid w:val="00B000AF"/>
    <w:rsid w:val="00B02B50"/>
    <w:rsid w:val="00B04E79"/>
    <w:rsid w:val="00B07488"/>
    <w:rsid w:val="00B075A2"/>
    <w:rsid w:val="00B10DD2"/>
    <w:rsid w:val="00B11081"/>
    <w:rsid w:val="00B115DC"/>
    <w:rsid w:val="00B11952"/>
    <w:rsid w:val="00B149AC"/>
    <w:rsid w:val="00B14BD2"/>
    <w:rsid w:val="00B14F3A"/>
    <w:rsid w:val="00B1557F"/>
    <w:rsid w:val="00B1668D"/>
    <w:rsid w:val="00B17981"/>
    <w:rsid w:val="00B20CAD"/>
    <w:rsid w:val="00B20E91"/>
    <w:rsid w:val="00B233BB"/>
    <w:rsid w:val="00B25612"/>
    <w:rsid w:val="00B26437"/>
    <w:rsid w:val="00B2678E"/>
    <w:rsid w:val="00B30647"/>
    <w:rsid w:val="00B31477"/>
    <w:rsid w:val="00B31F0E"/>
    <w:rsid w:val="00B34F25"/>
    <w:rsid w:val="00B3783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75B"/>
    <w:rsid w:val="00B73BB4"/>
    <w:rsid w:val="00B80532"/>
    <w:rsid w:val="00B81184"/>
    <w:rsid w:val="00B82039"/>
    <w:rsid w:val="00B82454"/>
    <w:rsid w:val="00B84BDE"/>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2B10"/>
    <w:rsid w:val="00C73045"/>
    <w:rsid w:val="00C73212"/>
    <w:rsid w:val="00C7354A"/>
    <w:rsid w:val="00C74379"/>
    <w:rsid w:val="00C74DD8"/>
    <w:rsid w:val="00C75C5E"/>
    <w:rsid w:val="00C76346"/>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3D40"/>
    <w:rsid w:val="00D30534"/>
    <w:rsid w:val="00D31DD5"/>
    <w:rsid w:val="00D35728"/>
    <w:rsid w:val="00D359A7"/>
    <w:rsid w:val="00D37BCF"/>
    <w:rsid w:val="00D40F93"/>
    <w:rsid w:val="00D42277"/>
    <w:rsid w:val="00D43C59"/>
    <w:rsid w:val="00D44ADE"/>
    <w:rsid w:val="00D44E0A"/>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AED"/>
    <w:rsid w:val="00D92F63"/>
    <w:rsid w:val="00D93515"/>
    <w:rsid w:val="00D94297"/>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4A79"/>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87E6B"/>
    <w:rsid w:val="00E90702"/>
    <w:rsid w:val="00E9241E"/>
    <w:rsid w:val="00E93DEF"/>
    <w:rsid w:val="00E947B1"/>
    <w:rsid w:val="00E96852"/>
    <w:rsid w:val="00EA0694"/>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694F"/>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5FFF"/>
    <w:rsid w:val="00F27573"/>
    <w:rsid w:val="00F307B6"/>
    <w:rsid w:val="00F30EB8"/>
    <w:rsid w:val="00F31876"/>
    <w:rsid w:val="00F31C67"/>
    <w:rsid w:val="00F36FE0"/>
    <w:rsid w:val="00F37EA8"/>
    <w:rsid w:val="00F40B14"/>
    <w:rsid w:val="00F41186"/>
    <w:rsid w:val="00F41EEF"/>
    <w:rsid w:val="00F41FAC"/>
    <w:rsid w:val="00F420C6"/>
    <w:rsid w:val="00F423D3"/>
    <w:rsid w:val="00F423E8"/>
    <w:rsid w:val="00F44349"/>
    <w:rsid w:val="00F4569E"/>
    <w:rsid w:val="00F45AFC"/>
    <w:rsid w:val="00F462F4"/>
    <w:rsid w:val="00F50130"/>
    <w:rsid w:val="00F512D9"/>
    <w:rsid w:val="00F520EB"/>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52DE"/>
    <w:rsid w:val="00F96602"/>
    <w:rsid w:val="00F9735A"/>
    <w:rsid w:val="00FA32FC"/>
    <w:rsid w:val="00FA59FD"/>
    <w:rsid w:val="00FA5D8C"/>
    <w:rsid w:val="00FA6403"/>
    <w:rsid w:val="00FB16CD"/>
    <w:rsid w:val="00FB73AE"/>
    <w:rsid w:val="00FC5388"/>
    <w:rsid w:val="00FC6680"/>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C429C08-7E0A-4D8A-AC11-063651A5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23D40"/>
    <w:rPr>
      <w:sz w:val="16"/>
      <w:szCs w:val="16"/>
    </w:rPr>
  </w:style>
  <w:style w:type="paragraph" w:styleId="CommentText">
    <w:name w:val="annotation text"/>
    <w:basedOn w:val="Normal"/>
    <w:link w:val="CommentTextChar"/>
    <w:unhideWhenUsed/>
    <w:rsid w:val="00D23D40"/>
    <w:rPr>
      <w:sz w:val="20"/>
      <w:szCs w:val="20"/>
    </w:rPr>
  </w:style>
  <w:style w:type="character" w:customStyle="1" w:styleId="CommentTextChar">
    <w:name w:val="Comment Text Char"/>
    <w:basedOn w:val="DefaultParagraphFont"/>
    <w:link w:val="CommentText"/>
    <w:rsid w:val="00D23D40"/>
  </w:style>
  <w:style w:type="paragraph" w:styleId="CommentSubject">
    <w:name w:val="annotation subject"/>
    <w:basedOn w:val="CommentText"/>
    <w:next w:val="CommentText"/>
    <w:link w:val="CommentSubjectChar"/>
    <w:semiHidden/>
    <w:unhideWhenUsed/>
    <w:rsid w:val="00D23D40"/>
    <w:rPr>
      <w:b/>
      <w:bCs/>
    </w:rPr>
  </w:style>
  <w:style w:type="character" w:customStyle="1" w:styleId="CommentSubjectChar">
    <w:name w:val="Comment Subject Char"/>
    <w:basedOn w:val="CommentTextChar"/>
    <w:link w:val="CommentSubject"/>
    <w:semiHidden/>
    <w:rsid w:val="00D23D40"/>
    <w:rPr>
      <w:b/>
      <w:bCs/>
    </w:rPr>
  </w:style>
  <w:style w:type="paragraph" w:styleId="Revision">
    <w:name w:val="Revision"/>
    <w:hidden/>
    <w:uiPriority w:val="99"/>
    <w:semiHidden/>
    <w:rsid w:val="00864DA0"/>
    <w:rPr>
      <w:sz w:val="24"/>
      <w:szCs w:val="24"/>
    </w:rPr>
  </w:style>
  <w:style w:type="paragraph" w:styleId="ListParagraph">
    <w:name w:val="List Paragraph"/>
    <w:basedOn w:val="Normal"/>
    <w:uiPriority w:val="34"/>
    <w:qFormat/>
    <w:rsid w:val="00C72B10"/>
    <w:pPr>
      <w:ind w:left="720"/>
      <w:contextualSpacing/>
    </w:pPr>
  </w:style>
  <w:style w:type="character" w:styleId="Hyperlink">
    <w:name w:val="Hyperlink"/>
    <w:basedOn w:val="DefaultParagraphFont"/>
    <w:unhideWhenUsed/>
    <w:rsid w:val="00167101"/>
    <w:rPr>
      <w:color w:val="0000FF" w:themeColor="hyperlink"/>
      <w:u w:val="single"/>
    </w:rPr>
  </w:style>
  <w:style w:type="character" w:customStyle="1" w:styleId="UnresolvedMention1">
    <w:name w:val="Unresolved Mention1"/>
    <w:basedOn w:val="DefaultParagraphFont"/>
    <w:uiPriority w:val="99"/>
    <w:semiHidden/>
    <w:unhideWhenUsed/>
    <w:rsid w:val="00167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972</Words>
  <Characters>5336</Characters>
  <Application>Microsoft Office Word</Application>
  <DocSecurity>0</DocSecurity>
  <Lines>107</Lines>
  <Paragraphs>24</Paragraphs>
  <ScaleCrop>false</ScaleCrop>
  <HeadingPairs>
    <vt:vector size="2" baseType="variant">
      <vt:variant>
        <vt:lpstr>Title</vt:lpstr>
      </vt:variant>
      <vt:variant>
        <vt:i4>1</vt:i4>
      </vt:variant>
    </vt:vector>
  </HeadingPairs>
  <TitlesOfParts>
    <vt:vector size="1" baseType="lpstr">
      <vt:lpstr>BA - SB02268 (Committee Report (Substituted))</vt:lpstr>
    </vt:vector>
  </TitlesOfParts>
  <Company>State of Texas</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30626</dc:subject>
  <dc:creator>State of Texas</dc:creator>
  <dc:description>SB 2268 by Schwertner-(H)State Affairs (Substitute Document Number: 89R 29173)</dc:description>
  <cp:lastModifiedBy>Damian Duarte</cp:lastModifiedBy>
  <cp:revision>2</cp:revision>
  <cp:lastPrinted>2003-11-26T17:21:00Z</cp:lastPrinted>
  <dcterms:created xsi:type="dcterms:W3CDTF">2025-05-16T14:42:00Z</dcterms:created>
  <dcterms:modified xsi:type="dcterms:W3CDTF">2025-05-16T14:42:00Z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25.134.490</vt:lpwstr>
  </property>
</Properties>
</file>