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511C3F" w14:paraId="0A81295E" w14:textId="77777777" w:rsidTr="00345119">
        <w:tc>
          <w:tcPr>
            <w:tcW w:w="9576" w:type="dxa"/>
            <w:noWrap/>
          </w:tcPr>
          <w:p w14:paraId="28BD8AC3" w14:textId="77777777" w:rsidR="008423E4" w:rsidRPr="0022177D" w:rsidRDefault="000240FB" w:rsidP="009D2E78">
            <w:pPr>
              <w:pStyle w:val="Heading1"/>
            </w:pPr>
            <w:r w:rsidRPr="00631897">
              <w:t>BILL ANALYSIS</w:t>
            </w:r>
          </w:p>
        </w:tc>
      </w:tr>
    </w:tbl>
    <w:p w14:paraId="181CBC6A" w14:textId="77777777" w:rsidR="008423E4" w:rsidRPr="0022177D" w:rsidRDefault="008423E4" w:rsidP="009D2E78">
      <w:pPr>
        <w:jc w:val="center"/>
      </w:pPr>
    </w:p>
    <w:p w14:paraId="2174EA01" w14:textId="77777777" w:rsidR="008423E4" w:rsidRPr="00B31F0E" w:rsidRDefault="008423E4" w:rsidP="009D2E78"/>
    <w:p w14:paraId="1D41E462" w14:textId="77777777" w:rsidR="008423E4" w:rsidRPr="00742794" w:rsidRDefault="008423E4" w:rsidP="009D2E78">
      <w:pPr>
        <w:tabs>
          <w:tab w:val="right" w:pos="9360"/>
        </w:tabs>
      </w:pPr>
    </w:p>
    <w:tbl>
      <w:tblPr>
        <w:tblW w:w="0" w:type="auto"/>
        <w:tblLayout w:type="fixed"/>
        <w:tblLook w:val="01E0" w:firstRow="1" w:lastRow="1" w:firstColumn="1" w:lastColumn="1" w:noHBand="0" w:noVBand="0"/>
      </w:tblPr>
      <w:tblGrid>
        <w:gridCol w:w="9576"/>
      </w:tblGrid>
      <w:tr w:rsidR="00511C3F" w14:paraId="419C0B38" w14:textId="77777777" w:rsidTr="00345119">
        <w:tc>
          <w:tcPr>
            <w:tcW w:w="9576" w:type="dxa"/>
          </w:tcPr>
          <w:p w14:paraId="03E34A0A" w14:textId="20C4CB11" w:rsidR="008423E4" w:rsidRPr="00861995" w:rsidRDefault="000240FB" w:rsidP="009D2E78">
            <w:pPr>
              <w:jc w:val="right"/>
            </w:pPr>
            <w:r>
              <w:t>S.B. 2337</w:t>
            </w:r>
          </w:p>
        </w:tc>
      </w:tr>
      <w:tr w:rsidR="00511C3F" w14:paraId="048C324B" w14:textId="77777777" w:rsidTr="00345119">
        <w:tc>
          <w:tcPr>
            <w:tcW w:w="9576" w:type="dxa"/>
          </w:tcPr>
          <w:p w14:paraId="1A6735EB" w14:textId="6F85E2CC" w:rsidR="008423E4" w:rsidRPr="00861995" w:rsidRDefault="000240FB" w:rsidP="009D2E78">
            <w:pPr>
              <w:jc w:val="right"/>
            </w:pPr>
            <w:r>
              <w:t xml:space="preserve">By: </w:t>
            </w:r>
            <w:r w:rsidR="001E3576">
              <w:t>Hughes</w:t>
            </w:r>
          </w:p>
        </w:tc>
      </w:tr>
      <w:tr w:rsidR="00511C3F" w14:paraId="63D0C1D9" w14:textId="77777777" w:rsidTr="00345119">
        <w:tc>
          <w:tcPr>
            <w:tcW w:w="9576" w:type="dxa"/>
          </w:tcPr>
          <w:p w14:paraId="11722A63" w14:textId="076E366E" w:rsidR="008423E4" w:rsidRPr="00861995" w:rsidRDefault="000240FB" w:rsidP="009D2E78">
            <w:pPr>
              <w:jc w:val="right"/>
            </w:pPr>
            <w:r>
              <w:t>Trade, Workforce &amp; Economic Development</w:t>
            </w:r>
          </w:p>
        </w:tc>
      </w:tr>
      <w:tr w:rsidR="00511C3F" w14:paraId="3610C398" w14:textId="77777777" w:rsidTr="00345119">
        <w:tc>
          <w:tcPr>
            <w:tcW w:w="9576" w:type="dxa"/>
          </w:tcPr>
          <w:p w14:paraId="5AA99046" w14:textId="3008F298" w:rsidR="008423E4" w:rsidRDefault="000240FB" w:rsidP="009D2E78">
            <w:pPr>
              <w:jc w:val="right"/>
            </w:pPr>
            <w:r>
              <w:t>Committee Report (Unamended)</w:t>
            </w:r>
          </w:p>
        </w:tc>
      </w:tr>
    </w:tbl>
    <w:p w14:paraId="3C2C62DB" w14:textId="77777777" w:rsidR="008423E4" w:rsidRDefault="008423E4" w:rsidP="009D2E78">
      <w:pPr>
        <w:tabs>
          <w:tab w:val="right" w:pos="9360"/>
        </w:tabs>
      </w:pPr>
    </w:p>
    <w:p w14:paraId="0DD92DB9" w14:textId="77777777" w:rsidR="008423E4" w:rsidRDefault="008423E4" w:rsidP="009D2E78"/>
    <w:p w14:paraId="5FBBD498" w14:textId="77777777" w:rsidR="008423E4" w:rsidRDefault="008423E4" w:rsidP="009D2E78"/>
    <w:tbl>
      <w:tblPr>
        <w:tblW w:w="0" w:type="auto"/>
        <w:tblCellMar>
          <w:left w:w="115" w:type="dxa"/>
          <w:right w:w="115" w:type="dxa"/>
        </w:tblCellMar>
        <w:tblLook w:val="01E0" w:firstRow="1" w:lastRow="1" w:firstColumn="1" w:lastColumn="1" w:noHBand="0" w:noVBand="0"/>
      </w:tblPr>
      <w:tblGrid>
        <w:gridCol w:w="9360"/>
      </w:tblGrid>
      <w:tr w:rsidR="00511C3F" w14:paraId="76CE7E65" w14:textId="77777777" w:rsidTr="00345119">
        <w:tc>
          <w:tcPr>
            <w:tcW w:w="9576" w:type="dxa"/>
          </w:tcPr>
          <w:p w14:paraId="43D7A283" w14:textId="77777777" w:rsidR="008423E4" w:rsidRPr="00A8133F" w:rsidRDefault="000240FB" w:rsidP="009D2E78">
            <w:pPr>
              <w:rPr>
                <w:b/>
              </w:rPr>
            </w:pPr>
            <w:r w:rsidRPr="009C1E9A">
              <w:rPr>
                <w:b/>
                <w:u w:val="single"/>
              </w:rPr>
              <w:t>BACKGROUND AND PURPOSE</w:t>
            </w:r>
            <w:r>
              <w:rPr>
                <w:b/>
              </w:rPr>
              <w:t xml:space="preserve"> </w:t>
            </w:r>
          </w:p>
          <w:p w14:paraId="42824685" w14:textId="77777777" w:rsidR="008423E4" w:rsidRDefault="008423E4" w:rsidP="009D2E78"/>
          <w:p w14:paraId="3B8A5CE9" w14:textId="2F1A0A23" w:rsidR="00EB57BF" w:rsidRDefault="000240FB" w:rsidP="009D2E78">
            <w:pPr>
              <w:pStyle w:val="Header"/>
              <w:tabs>
                <w:tab w:val="clear" w:pos="4320"/>
                <w:tab w:val="clear" w:pos="8640"/>
              </w:tabs>
              <w:jc w:val="both"/>
            </w:pPr>
            <w:r>
              <w:t xml:space="preserve">The bill sponsor has informed the committee </w:t>
            </w:r>
            <w:r w:rsidR="0094572E">
              <w:t>that</w:t>
            </w:r>
            <w:r>
              <w:t xml:space="preserve">: </w:t>
            </w:r>
          </w:p>
          <w:p w14:paraId="57CDCD94" w14:textId="1503B9F5" w:rsidR="00EB57BF" w:rsidRDefault="000240FB" w:rsidP="009D2E78">
            <w:pPr>
              <w:pStyle w:val="Header"/>
              <w:numPr>
                <w:ilvl w:val="0"/>
                <w:numId w:val="12"/>
              </w:numPr>
              <w:tabs>
                <w:tab w:val="clear" w:pos="4320"/>
                <w:tab w:val="clear" w:pos="8640"/>
              </w:tabs>
              <w:jc w:val="both"/>
            </w:pPr>
            <w:r>
              <w:t>p</w:t>
            </w:r>
            <w:r w:rsidR="002E4B8F" w:rsidRPr="002E4B8F">
              <w:t>roxy advisory firms are hired primarily by institutional investors to conduct research about corporate issuers and to make proxy voting recommendations</w:t>
            </w:r>
            <w:r>
              <w:t>;</w:t>
            </w:r>
          </w:p>
          <w:p w14:paraId="6C2B3AC7" w14:textId="79A64EC0" w:rsidR="00EB57BF" w:rsidRDefault="000240FB" w:rsidP="009D2E78">
            <w:pPr>
              <w:pStyle w:val="Header"/>
              <w:numPr>
                <w:ilvl w:val="0"/>
                <w:numId w:val="12"/>
              </w:numPr>
              <w:tabs>
                <w:tab w:val="clear" w:pos="4320"/>
                <w:tab w:val="clear" w:pos="8640"/>
              </w:tabs>
              <w:jc w:val="both"/>
            </w:pPr>
            <w:r>
              <w:t>such firms</w:t>
            </w:r>
            <w:r w:rsidR="002E4B8F" w:rsidRPr="002E4B8F">
              <w:t xml:space="preserve"> do not themselves owe fiduciary duties to shareholders, but they assist institutional investors who do owe such fiduciary duties in making voting decisions on the shareholders' behalf and provide services to facilitate the voting process</w:t>
            </w:r>
            <w:r>
              <w:t>;</w:t>
            </w:r>
          </w:p>
          <w:p w14:paraId="2A576A58" w14:textId="5442FC2A" w:rsidR="001B4159" w:rsidRDefault="000240FB" w:rsidP="009D2E78">
            <w:pPr>
              <w:pStyle w:val="Header"/>
              <w:numPr>
                <w:ilvl w:val="0"/>
                <w:numId w:val="12"/>
              </w:numPr>
              <w:tabs>
                <w:tab w:val="clear" w:pos="4320"/>
                <w:tab w:val="clear" w:pos="8640"/>
              </w:tabs>
              <w:jc w:val="both"/>
            </w:pPr>
            <w:r>
              <w:t>p</w:t>
            </w:r>
            <w:r w:rsidR="002E4B8F" w:rsidRPr="002E4B8F">
              <w:t>roxy advisory firms provide voting recommendations and other services that often prioritize nonfinancial factors, such as</w:t>
            </w:r>
            <w:r w:rsidR="0094572E">
              <w:t xml:space="preserve"> standards based</w:t>
            </w:r>
            <w:r w:rsidR="002E4B8F" w:rsidRPr="002E4B8F">
              <w:t xml:space="preserve"> </w:t>
            </w:r>
            <w:r w:rsidR="0094572E">
              <w:t xml:space="preserve">on </w:t>
            </w:r>
            <w:r w:rsidRPr="00EB57BF">
              <w:t xml:space="preserve">environmental, social, or governance </w:t>
            </w:r>
            <w:r w:rsidR="0094572E">
              <w:t xml:space="preserve">factors </w:t>
            </w:r>
            <w:r w:rsidR="002E4B8F" w:rsidRPr="002E4B8F">
              <w:t xml:space="preserve">or </w:t>
            </w:r>
            <w:r w:rsidRPr="00EB57BF">
              <w:t xml:space="preserve">diversity, equity, or inclusion </w:t>
            </w:r>
            <w:r w:rsidR="0094572E">
              <w:t>factors</w:t>
            </w:r>
            <w:r w:rsidR="00CA7617">
              <w:t>,</w:t>
            </w:r>
            <w:r w:rsidR="002E4B8F" w:rsidRPr="002E4B8F">
              <w:t xml:space="preserve"> and provide irreconcilably conflicting recommendations to different clients on the same company or shareholder proposals, both of which necessarily cannot be in the financial interest of the shareholders</w:t>
            </w:r>
            <w:r>
              <w:t>;</w:t>
            </w:r>
          </w:p>
          <w:p w14:paraId="228E79A5" w14:textId="28D0A868" w:rsidR="001B4159" w:rsidRDefault="000240FB" w:rsidP="009D2E78">
            <w:pPr>
              <w:pStyle w:val="Header"/>
              <w:numPr>
                <w:ilvl w:val="0"/>
                <w:numId w:val="12"/>
              </w:numPr>
              <w:tabs>
                <w:tab w:val="clear" w:pos="4320"/>
                <w:tab w:val="clear" w:pos="8640"/>
              </w:tabs>
              <w:jc w:val="both"/>
            </w:pPr>
            <w:r w:rsidRPr="002E4B8F">
              <w:t>firms justify these practices on the basis that they do not owe fiduciary duties to the shareholders while ignoring the reality that their clients do owe fiduciary duties</w:t>
            </w:r>
            <w:r>
              <w:t>;</w:t>
            </w:r>
          </w:p>
          <w:p w14:paraId="4342134B" w14:textId="58769220" w:rsidR="001B4159" w:rsidRDefault="000240FB" w:rsidP="009D2E78">
            <w:pPr>
              <w:pStyle w:val="Header"/>
              <w:numPr>
                <w:ilvl w:val="0"/>
                <w:numId w:val="12"/>
              </w:numPr>
              <w:tabs>
                <w:tab w:val="clear" w:pos="4320"/>
                <w:tab w:val="clear" w:pos="8640"/>
              </w:tabs>
              <w:jc w:val="both"/>
            </w:pPr>
            <w:r w:rsidRPr="002E4B8F">
              <w:t>such firms also issue corporate governance ratings for public companies, use those corporate governance ratings in formulating their voting recommendations for or against a company, and provide consulting services to companies to assist in raising their corporate governance ratings</w:t>
            </w:r>
            <w:r>
              <w:t>; and</w:t>
            </w:r>
          </w:p>
          <w:p w14:paraId="62F555B3" w14:textId="5E2CD9AC" w:rsidR="001B4159" w:rsidRDefault="000240FB" w:rsidP="009D2E78">
            <w:pPr>
              <w:pStyle w:val="Header"/>
              <w:numPr>
                <w:ilvl w:val="0"/>
                <w:numId w:val="12"/>
              </w:numPr>
              <w:tabs>
                <w:tab w:val="clear" w:pos="4320"/>
                <w:tab w:val="clear" w:pos="8640"/>
              </w:tabs>
              <w:jc w:val="both"/>
            </w:pPr>
            <w:r>
              <w:t>there are c</w:t>
            </w:r>
            <w:r w:rsidR="002E4B8F" w:rsidRPr="002E4B8F">
              <w:t xml:space="preserve">onflicts of interest. </w:t>
            </w:r>
          </w:p>
          <w:p w14:paraId="1AD8285F" w14:textId="2E1C56FF" w:rsidR="008423E4" w:rsidRDefault="000240FB" w:rsidP="009D2E78">
            <w:pPr>
              <w:pStyle w:val="Header"/>
              <w:tabs>
                <w:tab w:val="clear" w:pos="4320"/>
                <w:tab w:val="clear" w:pos="8640"/>
              </w:tabs>
              <w:jc w:val="both"/>
            </w:pPr>
            <w:r w:rsidRPr="002E4B8F">
              <w:t>S.B. 2337</w:t>
            </w:r>
            <w:r w:rsidR="001B4159">
              <w:t xml:space="preserve"> seeks to </w:t>
            </w:r>
            <w:r w:rsidR="009C4C71">
              <w:t>address these issues</w:t>
            </w:r>
            <w:r w:rsidRPr="002E4B8F">
              <w:t xml:space="preserve"> by </w:t>
            </w:r>
            <w:r w:rsidR="009C4C71">
              <w:t xml:space="preserve">setting out provisions relating to the regulation of proxy advisory services </w:t>
            </w:r>
            <w:r w:rsidR="0094572E">
              <w:t>and by providing</w:t>
            </w:r>
            <w:r w:rsidRPr="002E4B8F">
              <w:t xml:space="preserve"> for </w:t>
            </w:r>
            <w:r w:rsidR="00886869">
              <w:t xml:space="preserve">the </w:t>
            </w:r>
            <w:r w:rsidRPr="002E4B8F">
              <w:t xml:space="preserve">enforcement of its provisions </w:t>
            </w:r>
            <w:r w:rsidR="0094572E">
              <w:t>under</w:t>
            </w:r>
            <w:r w:rsidRPr="002E4B8F">
              <w:t xml:space="preserve"> </w:t>
            </w:r>
            <w:r w:rsidR="001B4159" w:rsidRPr="001B4159">
              <w:t>the Deceptive Trade Practices</w:t>
            </w:r>
            <w:r w:rsidR="002070CD">
              <w:t>-Consumer Protection</w:t>
            </w:r>
            <w:r w:rsidR="001B4159" w:rsidRPr="001B4159">
              <w:t xml:space="preserve"> Act</w:t>
            </w:r>
            <w:r w:rsidRPr="002E4B8F">
              <w:t>.</w:t>
            </w:r>
          </w:p>
          <w:p w14:paraId="719185FF" w14:textId="77777777" w:rsidR="008423E4" w:rsidRPr="00E26B13" w:rsidRDefault="008423E4" w:rsidP="009D2E78">
            <w:pPr>
              <w:rPr>
                <w:b/>
              </w:rPr>
            </w:pPr>
          </w:p>
        </w:tc>
      </w:tr>
      <w:tr w:rsidR="00511C3F" w14:paraId="47523E4C" w14:textId="77777777" w:rsidTr="00345119">
        <w:tc>
          <w:tcPr>
            <w:tcW w:w="9576" w:type="dxa"/>
          </w:tcPr>
          <w:p w14:paraId="6AD3E525" w14:textId="77777777" w:rsidR="0017725B" w:rsidRDefault="000240FB" w:rsidP="009D2E78">
            <w:pPr>
              <w:rPr>
                <w:b/>
                <w:u w:val="single"/>
              </w:rPr>
            </w:pPr>
            <w:r>
              <w:rPr>
                <w:b/>
                <w:u w:val="single"/>
              </w:rPr>
              <w:t>CRIMINAL JUSTICE IMPACT</w:t>
            </w:r>
          </w:p>
          <w:p w14:paraId="5E0AB167" w14:textId="77777777" w:rsidR="0017725B" w:rsidRDefault="0017725B" w:rsidP="009D2E78">
            <w:pPr>
              <w:rPr>
                <w:b/>
                <w:u w:val="single"/>
              </w:rPr>
            </w:pPr>
          </w:p>
          <w:p w14:paraId="51B67C97" w14:textId="60D6A111" w:rsidR="00164C1C" w:rsidRPr="00164C1C" w:rsidRDefault="000240FB" w:rsidP="009D2E78">
            <w:pPr>
              <w:jc w:val="both"/>
            </w:pPr>
            <w:r>
              <w:t xml:space="preserve">It is the committee's opinion that this bill does not expressly create a criminal offense, increase the punishment for an existing criminal offense or category of offenses, or change the eligibility of a person for </w:t>
            </w:r>
            <w:r>
              <w:t>community supervision, parole, or mandatory supervision.</w:t>
            </w:r>
          </w:p>
          <w:p w14:paraId="74644FB1" w14:textId="77777777" w:rsidR="0017725B" w:rsidRPr="0017725B" w:rsidRDefault="0017725B" w:rsidP="009D2E78">
            <w:pPr>
              <w:rPr>
                <w:b/>
                <w:u w:val="single"/>
              </w:rPr>
            </w:pPr>
          </w:p>
        </w:tc>
      </w:tr>
      <w:tr w:rsidR="00511C3F" w14:paraId="3D957ED0" w14:textId="77777777" w:rsidTr="00345119">
        <w:tc>
          <w:tcPr>
            <w:tcW w:w="9576" w:type="dxa"/>
          </w:tcPr>
          <w:p w14:paraId="392CD355" w14:textId="77777777" w:rsidR="008423E4" w:rsidRPr="00A8133F" w:rsidRDefault="000240FB" w:rsidP="009D2E78">
            <w:pPr>
              <w:rPr>
                <w:b/>
              </w:rPr>
            </w:pPr>
            <w:r w:rsidRPr="009C1E9A">
              <w:rPr>
                <w:b/>
                <w:u w:val="single"/>
              </w:rPr>
              <w:t>RULEMAKING AUTHORITY</w:t>
            </w:r>
            <w:r>
              <w:rPr>
                <w:b/>
              </w:rPr>
              <w:t xml:space="preserve"> </w:t>
            </w:r>
          </w:p>
          <w:p w14:paraId="07B44909" w14:textId="77777777" w:rsidR="008423E4" w:rsidRDefault="008423E4" w:rsidP="009D2E78"/>
          <w:p w14:paraId="0D081EA2" w14:textId="0B8BE74D" w:rsidR="00164C1C" w:rsidRDefault="000240FB" w:rsidP="009D2E78">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23BA4FD6" w14:textId="77777777" w:rsidR="008423E4" w:rsidRPr="00E21FDC" w:rsidRDefault="008423E4" w:rsidP="009D2E78">
            <w:pPr>
              <w:rPr>
                <w:b/>
              </w:rPr>
            </w:pPr>
          </w:p>
        </w:tc>
      </w:tr>
      <w:tr w:rsidR="00511C3F" w14:paraId="763C609D" w14:textId="77777777" w:rsidTr="00345119">
        <w:tc>
          <w:tcPr>
            <w:tcW w:w="9576" w:type="dxa"/>
          </w:tcPr>
          <w:p w14:paraId="2B2EC2A3" w14:textId="77777777" w:rsidR="008423E4" w:rsidRPr="00A8133F" w:rsidRDefault="000240FB" w:rsidP="009D2E78">
            <w:pPr>
              <w:rPr>
                <w:b/>
              </w:rPr>
            </w:pPr>
            <w:r w:rsidRPr="009C1E9A">
              <w:rPr>
                <w:b/>
                <w:u w:val="single"/>
              </w:rPr>
              <w:t>ANALYSIS</w:t>
            </w:r>
            <w:r>
              <w:rPr>
                <w:b/>
              </w:rPr>
              <w:t xml:space="preserve"> </w:t>
            </w:r>
          </w:p>
          <w:p w14:paraId="3BEDAF39" w14:textId="77777777" w:rsidR="008423E4" w:rsidRDefault="008423E4" w:rsidP="009D2E78"/>
          <w:p w14:paraId="23FEC12C" w14:textId="79A78B20" w:rsidR="00497231" w:rsidRDefault="000240FB" w:rsidP="009D2E78">
            <w:pPr>
              <w:pStyle w:val="Header"/>
              <w:tabs>
                <w:tab w:val="clear" w:pos="4320"/>
                <w:tab w:val="clear" w:pos="8640"/>
              </w:tabs>
              <w:jc w:val="both"/>
            </w:pPr>
            <w:r>
              <w:t>S.B. 2337</w:t>
            </w:r>
            <w:r w:rsidR="000D66F8">
              <w:t xml:space="preserve"> amends the </w:t>
            </w:r>
            <w:r w:rsidR="000D66F8" w:rsidRPr="000D66F8">
              <w:t>Business Organizations Code</w:t>
            </w:r>
            <w:r w:rsidR="000D66F8">
              <w:t xml:space="preserve"> to </w:t>
            </w:r>
            <w:r w:rsidR="00292729">
              <w:t>establish</w:t>
            </w:r>
            <w:r w:rsidR="00B10B27">
              <w:t xml:space="preserve"> that</w:t>
            </w:r>
            <w:r w:rsidR="00292729">
              <w:t>, f</w:t>
            </w:r>
            <w:r w:rsidR="000D66F8">
              <w:t xml:space="preserve">or </w:t>
            </w:r>
            <w:r w:rsidR="00164C1C">
              <w:t>purposes</w:t>
            </w:r>
            <w:r w:rsidR="00B10B27">
              <w:t xml:space="preserve"> of the </w:t>
            </w:r>
            <w:r w:rsidR="00B10B27" w:rsidRPr="00B10B27">
              <w:t>disclosure of nonfinancial proxy voting services to prevent fraud or deceit</w:t>
            </w:r>
            <w:r w:rsidR="00B10B27">
              <w:t xml:space="preserve"> under the bill's provisions</w:t>
            </w:r>
            <w:r w:rsidR="000D66F8">
              <w:t>,</w:t>
            </w:r>
            <w:r w:rsidR="00292729">
              <w:t xml:space="preserve"> </w:t>
            </w:r>
            <w:r>
              <w:t xml:space="preserve">a </w:t>
            </w:r>
            <w:r w:rsidR="000D66F8">
              <w:t>proxy advisory service</w:t>
            </w:r>
            <w:r>
              <w:t xml:space="preserve"> is</w:t>
            </w:r>
            <w:r w:rsidR="000D66F8">
              <w:t xml:space="preserve"> not provided solely in the financial interest of the shareholders </w:t>
            </w:r>
            <w:r w:rsidR="002070CD">
              <w:t xml:space="preserve">of a company </w:t>
            </w:r>
            <w:r w:rsidR="000D66F8">
              <w:t>if</w:t>
            </w:r>
            <w:r w:rsidR="00B90CD7">
              <w:t xml:space="preserve"> the service</w:t>
            </w:r>
            <w:r>
              <w:t>:</w:t>
            </w:r>
          </w:p>
          <w:p w14:paraId="1A687ABD" w14:textId="6478F0A0" w:rsidR="000D66F8" w:rsidRDefault="000240FB" w:rsidP="009D2E78">
            <w:pPr>
              <w:pStyle w:val="Header"/>
              <w:numPr>
                <w:ilvl w:val="0"/>
                <w:numId w:val="9"/>
              </w:numPr>
              <w:jc w:val="both"/>
            </w:pPr>
            <w:r>
              <w:t xml:space="preserve">is wholly or partly </w:t>
            </w:r>
            <w:r w:rsidR="002070CD">
              <w:t xml:space="preserve">based </w:t>
            </w:r>
            <w:r>
              <w:t>on one or more nonfinancial factors, including a commitment, initiative, policy, target, or subjective or value-based standard based on the following:</w:t>
            </w:r>
          </w:p>
          <w:p w14:paraId="1CECD1D7" w14:textId="16918288" w:rsidR="00B90CD7" w:rsidRDefault="000240FB" w:rsidP="009D2E78">
            <w:pPr>
              <w:pStyle w:val="Header"/>
              <w:numPr>
                <w:ilvl w:val="1"/>
                <w:numId w:val="9"/>
              </w:numPr>
              <w:jc w:val="both"/>
            </w:pPr>
            <w:r>
              <w:t xml:space="preserve">an </w:t>
            </w:r>
            <w:r w:rsidR="000D66F8">
              <w:t>environmental, social, or governance (ESG)</w:t>
            </w:r>
            <w:r>
              <w:t xml:space="preserve"> goal, factor, or</w:t>
            </w:r>
            <w:r w:rsidR="000D66F8">
              <w:t xml:space="preserve"> investment principle;</w:t>
            </w:r>
          </w:p>
          <w:p w14:paraId="3CDDA205" w14:textId="0532A572" w:rsidR="00B90CD7" w:rsidRDefault="000240FB" w:rsidP="009D2E78">
            <w:pPr>
              <w:pStyle w:val="Header"/>
              <w:numPr>
                <w:ilvl w:val="1"/>
                <w:numId w:val="9"/>
              </w:numPr>
              <w:jc w:val="both"/>
            </w:pPr>
            <w:r>
              <w:t>diversity, equity, or inclusion</w:t>
            </w:r>
            <w:r w:rsidR="009518FE">
              <w:t xml:space="preserve"> (DEI), including</w:t>
            </w:r>
            <w:r w:rsidRPr="00B90CD7">
              <w:t xml:space="preserve"> any attempt to provide preferential treatment based on characteristics protected under</w:t>
            </w:r>
            <w:r>
              <w:t xml:space="preserve"> Labor Code provisions relating to</w:t>
            </w:r>
            <w:r w:rsidR="00920095">
              <w:t xml:space="preserve"> employment</w:t>
            </w:r>
            <w:r>
              <w:t xml:space="preserve"> discrimination;</w:t>
            </w:r>
          </w:p>
          <w:p w14:paraId="36593538" w14:textId="7508A8B4" w:rsidR="00B90CD7" w:rsidRDefault="000240FB" w:rsidP="009D2E78">
            <w:pPr>
              <w:pStyle w:val="Header"/>
              <w:numPr>
                <w:ilvl w:val="1"/>
                <w:numId w:val="9"/>
              </w:numPr>
              <w:jc w:val="both"/>
            </w:pPr>
            <w:r>
              <w:t xml:space="preserve">a </w:t>
            </w:r>
            <w:r w:rsidR="000D66F8">
              <w:t>social credit or sustainability</w:t>
            </w:r>
            <w:r>
              <w:t xml:space="preserve"> factor or</w:t>
            </w:r>
            <w:r w:rsidR="000D66F8">
              <w:t xml:space="preserve"> score; or</w:t>
            </w:r>
          </w:p>
          <w:p w14:paraId="5E291C11" w14:textId="05A161D9" w:rsidR="00B90CD7" w:rsidRDefault="000240FB" w:rsidP="009D2E78">
            <w:pPr>
              <w:pStyle w:val="Header"/>
              <w:numPr>
                <w:ilvl w:val="1"/>
                <w:numId w:val="9"/>
              </w:numPr>
              <w:jc w:val="both"/>
            </w:pPr>
            <w:r>
              <w:t xml:space="preserve">membership in or commitment to an organization or group that wholly or partly </w:t>
            </w:r>
            <w:r>
              <w:t>bases its evaluation or assessment of a company's value over any period on nonfinancial factors; or</w:t>
            </w:r>
          </w:p>
          <w:p w14:paraId="5704C61A" w14:textId="7C9C6CBF" w:rsidR="00B90CD7" w:rsidRDefault="000240FB" w:rsidP="009D2E78">
            <w:pPr>
              <w:pStyle w:val="Header"/>
              <w:numPr>
                <w:ilvl w:val="0"/>
                <w:numId w:val="1"/>
              </w:numPr>
              <w:jc w:val="both"/>
            </w:pPr>
            <w:r>
              <w:t>involves providing a voting recommendation with respect to a shareholder-sponsored proposal that:</w:t>
            </w:r>
          </w:p>
          <w:p w14:paraId="62788DD4" w14:textId="77777777" w:rsidR="00B90CD7" w:rsidRDefault="000240FB" w:rsidP="009D2E78">
            <w:pPr>
              <w:pStyle w:val="Header"/>
              <w:numPr>
                <w:ilvl w:val="1"/>
                <w:numId w:val="1"/>
              </w:numPr>
              <w:jc w:val="both"/>
            </w:pPr>
            <w:r>
              <w:t>is inconsistent with the voting recommendation of the board of directors or a board committee composed of a majority of independent directors; and</w:t>
            </w:r>
          </w:p>
          <w:p w14:paraId="2867E68A" w14:textId="1B337B3B" w:rsidR="009C36CD" w:rsidRDefault="000240FB" w:rsidP="009D2E78">
            <w:pPr>
              <w:pStyle w:val="Header"/>
              <w:numPr>
                <w:ilvl w:val="1"/>
                <w:numId w:val="1"/>
              </w:numPr>
              <w:jc w:val="both"/>
            </w:pPr>
            <w:r>
              <w:t xml:space="preserve">subject to the bill's provisions, </w:t>
            </w:r>
            <w:r w:rsidR="00B90CD7">
              <w:t xml:space="preserve">does not include a written economic analysis of the financial impact on shareholders of the proposal. </w:t>
            </w:r>
          </w:p>
          <w:p w14:paraId="5982475D" w14:textId="77777777" w:rsidR="005A41AE" w:rsidRDefault="005A41AE" w:rsidP="009D2E78">
            <w:pPr>
              <w:pStyle w:val="Header"/>
              <w:tabs>
                <w:tab w:val="clear" w:pos="4320"/>
                <w:tab w:val="clear" w:pos="8640"/>
              </w:tabs>
              <w:jc w:val="both"/>
            </w:pPr>
          </w:p>
          <w:p w14:paraId="3313E936" w14:textId="34AF77FB" w:rsidR="005A41AE" w:rsidRDefault="000240FB" w:rsidP="009D2E78">
            <w:pPr>
              <w:pStyle w:val="Header"/>
              <w:tabs>
                <w:tab w:val="clear" w:pos="4320"/>
                <w:tab w:val="clear" w:pos="8640"/>
              </w:tabs>
              <w:jc w:val="both"/>
            </w:pPr>
            <w:r>
              <w:t xml:space="preserve">S.B. 2337 requires a proxy advisor who provides a </w:t>
            </w:r>
            <w:r w:rsidRPr="000D66F8">
              <w:t xml:space="preserve">proxy advisory service that </w:t>
            </w:r>
            <w:r>
              <w:t>is</w:t>
            </w:r>
            <w:r w:rsidRPr="000D66F8">
              <w:t xml:space="preserve"> not provided solely in the financial interest of </w:t>
            </w:r>
            <w:r>
              <w:t xml:space="preserve">the </w:t>
            </w:r>
            <w:r w:rsidRPr="000D66F8">
              <w:t>shareholders</w:t>
            </w:r>
            <w:r>
              <w:t xml:space="preserve"> of a company to do the following:</w:t>
            </w:r>
          </w:p>
          <w:p w14:paraId="1DE6914A" w14:textId="77777777" w:rsidR="005A41AE" w:rsidRDefault="000240FB" w:rsidP="009D2E78">
            <w:pPr>
              <w:pStyle w:val="Header"/>
              <w:numPr>
                <w:ilvl w:val="0"/>
                <w:numId w:val="3"/>
              </w:numPr>
              <w:jc w:val="both"/>
            </w:pPr>
            <w:r>
              <w:t xml:space="preserve">include a conspicuous </w:t>
            </w:r>
            <w:r w:rsidRPr="008D18F5">
              <w:t>disclosure to each shareholder or entity or other person acting on behalf of a shareholder receiving the service that</w:t>
            </w:r>
            <w:r>
              <w:t>:</w:t>
            </w:r>
          </w:p>
          <w:p w14:paraId="3160811A" w14:textId="77777777" w:rsidR="005A41AE" w:rsidRDefault="000240FB" w:rsidP="009D2E78">
            <w:pPr>
              <w:pStyle w:val="Header"/>
              <w:numPr>
                <w:ilvl w:val="1"/>
                <w:numId w:val="3"/>
              </w:numPr>
              <w:jc w:val="both"/>
            </w:pPr>
            <w:r>
              <w:t>states that the service is not being provided solely in the financial interest of the company's shareholders because it is based wholly or partly on one or more nonfinancial factors; and</w:t>
            </w:r>
          </w:p>
          <w:p w14:paraId="5E458548" w14:textId="77777777" w:rsidR="005A41AE" w:rsidRDefault="000240FB" w:rsidP="009D2E78">
            <w:pPr>
              <w:pStyle w:val="Header"/>
              <w:numPr>
                <w:ilvl w:val="1"/>
                <w:numId w:val="3"/>
              </w:numPr>
              <w:jc w:val="both"/>
            </w:pPr>
            <w:r>
              <w:t>briefly explains the basis of the proxy advisor's advice and recommendation;</w:t>
            </w:r>
          </w:p>
          <w:p w14:paraId="2C16F5E5" w14:textId="1B2E1330" w:rsidR="005A41AE" w:rsidRDefault="000240FB" w:rsidP="009D2E78">
            <w:pPr>
              <w:pStyle w:val="Header"/>
              <w:numPr>
                <w:ilvl w:val="0"/>
                <w:numId w:val="3"/>
              </w:numPr>
              <w:jc w:val="both"/>
            </w:pPr>
            <w:r>
              <w:t xml:space="preserve">immediately provide a copy of the </w:t>
            </w:r>
            <w:r w:rsidR="00920095">
              <w:t>disclosure</w:t>
            </w:r>
            <w:r>
              <w:t xml:space="preserve"> to the company that is the subject of the service; and</w:t>
            </w:r>
          </w:p>
          <w:p w14:paraId="07E42AC3" w14:textId="77777777" w:rsidR="005A41AE" w:rsidRDefault="000240FB" w:rsidP="009D2E78">
            <w:pPr>
              <w:pStyle w:val="Header"/>
              <w:numPr>
                <w:ilvl w:val="0"/>
                <w:numId w:val="3"/>
              </w:numPr>
              <w:jc w:val="both"/>
            </w:pPr>
            <w:r>
              <w:t>publicly and conspicuously disclose on the home or front page of the proxy advisor's publicly accessible website that the advisor's proxy advisory services include advice and recommendations that are not based solely on the financial interest of shareholders.</w:t>
            </w:r>
          </w:p>
          <w:p w14:paraId="38A88B88" w14:textId="4782A843" w:rsidR="000D66F8" w:rsidRDefault="000240FB" w:rsidP="009D2E78">
            <w:pPr>
              <w:pStyle w:val="Header"/>
              <w:tabs>
                <w:tab w:val="clear" w:pos="4320"/>
                <w:tab w:val="clear" w:pos="8640"/>
              </w:tabs>
              <w:jc w:val="both"/>
            </w:pPr>
            <w:r>
              <w:t xml:space="preserve">The bill requires </w:t>
            </w:r>
            <w:r w:rsidR="00B10B27">
              <w:t>the</w:t>
            </w:r>
            <w:r>
              <w:t xml:space="preserve"> written economic analysis</w:t>
            </w:r>
            <w:r w:rsidR="00B10B27">
              <w:t xml:space="preserve"> under the bill's provisions</w:t>
            </w:r>
            <w:r>
              <w:t xml:space="preserve"> to include the following:</w:t>
            </w:r>
          </w:p>
          <w:p w14:paraId="38F6EA91" w14:textId="77777777" w:rsidR="00BE16EE" w:rsidRDefault="000240FB" w:rsidP="009D2E78">
            <w:pPr>
              <w:pStyle w:val="Header"/>
              <w:numPr>
                <w:ilvl w:val="0"/>
                <w:numId w:val="10"/>
              </w:numPr>
              <w:jc w:val="both"/>
            </w:pPr>
            <w:r>
              <w:t>the short-term and long-term economic benefits and costs of implementing the shareholder-sponsored proposal, as written;</w:t>
            </w:r>
          </w:p>
          <w:p w14:paraId="73917DEF" w14:textId="56525CA0" w:rsidR="00BE16EE" w:rsidRDefault="000240FB" w:rsidP="009D2E78">
            <w:pPr>
              <w:pStyle w:val="Header"/>
              <w:numPr>
                <w:ilvl w:val="0"/>
                <w:numId w:val="10"/>
              </w:numPr>
              <w:jc w:val="both"/>
            </w:pPr>
            <w:r>
              <w:t>an analysis of whether the proposal is consistent with the investment policy of the client;</w:t>
            </w:r>
          </w:p>
          <w:p w14:paraId="1140472F" w14:textId="578481FB" w:rsidR="00BE16EE" w:rsidRDefault="000240FB" w:rsidP="009D2E78">
            <w:pPr>
              <w:pStyle w:val="Header"/>
              <w:numPr>
                <w:ilvl w:val="0"/>
                <w:numId w:val="10"/>
              </w:numPr>
              <w:jc w:val="both"/>
            </w:pPr>
            <w:r>
              <w:t>the projected quantifiable impact of the proposal, if adopted, on the investment returns of the client; and</w:t>
            </w:r>
          </w:p>
          <w:p w14:paraId="24D6CF80" w14:textId="242B13BD" w:rsidR="000D66F8" w:rsidRDefault="000240FB" w:rsidP="009D2E78">
            <w:pPr>
              <w:pStyle w:val="Header"/>
              <w:numPr>
                <w:ilvl w:val="0"/>
                <w:numId w:val="10"/>
              </w:numPr>
              <w:tabs>
                <w:tab w:val="clear" w:pos="4320"/>
                <w:tab w:val="clear" w:pos="8640"/>
              </w:tabs>
              <w:jc w:val="both"/>
            </w:pPr>
            <w:r>
              <w:t>an explanation of the methods and processes used to prepare the economic analysis.</w:t>
            </w:r>
          </w:p>
          <w:p w14:paraId="41F0F1A5" w14:textId="77777777" w:rsidR="00230C91" w:rsidRDefault="00230C91" w:rsidP="009D2E78">
            <w:pPr>
              <w:pStyle w:val="Header"/>
              <w:tabs>
                <w:tab w:val="clear" w:pos="4320"/>
                <w:tab w:val="clear" w:pos="8640"/>
              </w:tabs>
              <w:jc w:val="both"/>
            </w:pPr>
          </w:p>
          <w:p w14:paraId="0175B913" w14:textId="3DB3C592" w:rsidR="00230C91" w:rsidRDefault="000240FB" w:rsidP="009D2E78">
            <w:pPr>
              <w:pStyle w:val="Header"/>
              <w:jc w:val="both"/>
            </w:pPr>
            <w:r>
              <w:t>S.B. 2337</w:t>
            </w:r>
            <w:r w:rsidR="009B1A1D">
              <w:t xml:space="preserve"> </w:t>
            </w:r>
            <w:r>
              <w:t xml:space="preserve">requires </w:t>
            </w:r>
            <w:r w:rsidR="00BE16EE">
              <w:t xml:space="preserve">a </w:t>
            </w:r>
            <w:r>
              <w:t xml:space="preserve">proxy advisor </w:t>
            </w:r>
            <w:r w:rsidR="00BE16EE">
              <w:t xml:space="preserve">who provides </w:t>
            </w:r>
            <w:r w:rsidR="00BE16EE" w:rsidRPr="00BE16EE">
              <w:t>to different clients who have not expressly requested services for a nonfinancial purpose either advice or a recommendation on how to vote on a proxy or company proposal that is materially different</w:t>
            </w:r>
            <w:r>
              <w:t xml:space="preserve"> t</w:t>
            </w:r>
            <w:r w:rsidR="00BE16EE">
              <w:t>o</w:t>
            </w:r>
            <w:r>
              <w:t xml:space="preserve"> do the following:</w:t>
            </w:r>
          </w:p>
          <w:p w14:paraId="202B011B" w14:textId="155645D7" w:rsidR="00F17AC4" w:rsidRDefault="000240FB" w:rsidP="009D2E78">
            <w:pPr>
              <w:pStyle w:val="Header"/>
              <w:numPr>
                <w:ilvl w:val="0"/>
                <w:numId w:val="5"/>
              </w:numPr>
              <w:jc w:val="both"/>
            </w:pPr>
            <w:r>
              <w:t>if applicable, comply with disclosure requirements for nonfinancial proxy advisor services established under the bill's provisions;</w:t>
            </w:r>
          </w:p>
          <w:p w14:paraId="08B03A0E" w14:textId="51A2E191" w:rsidR="00F17AC4" w:rsidRDefault="000240FB" w:rsidP="009D2E78">
            <w:pPr>
              <w:pStyle w:val="Header"/>
              <w:numPr>
                <w:ilvl w:val="0"/>
                <w:numId w:val="5"/>
              </w:numPr>
              <w:jc w:val="both"/>
            </w:pPr>
            <w:r>
              <w:t>notify the following persons, in writing or by electronic means, of the conflicting advice or recommendation:</w:t>
            </w:r>
          </w:p>
          <w:p w14:paraId="273EDD9D" w14:textId="77777777" w:rsidR="00F17AC4" w:rsidRDefault="000240FB" w:rsidP="009D2E78">
            <w:pPr>
              <w:pStyle w:val="Header"/>
              <w:numPr>
                <w:ilvl w:val="1"/>
                <w:numId w:val="5"/>
              </w:numPr>
              <w:jc w:val="both"/>
            </w:pPr>
            <w:r>
              <w:t>each shareholder receiving the advice or recommendation;</w:t>
            </w:r>
          </w:p>
          <w:p w14:paraId="31C88742" w14:textId="7814DC6C" w:rsidR="00F17AC4" w:rsidRDefault="000240FB" w:rsidP="009D2E78">
            <w:pPr>
              <w:pStyle w:val="Header"/>
              <w:numPr>
                <w:ilvl w:val="1"/>
                <w:numId w:val="5"/>
              </w:numPr>
              <w:jc w:val="both"/>
            </w:pPr>
            <w:r>
              <w:t>each entity or other person receiving the advice or recommendation on behalf of a shareholder;</w:t>
            </w:r>
          </w:p>
          <w:p w14:paraId="74F9C3CB" w14:textId="50ED8B9C" w:rsidR="00F17AC4" w:rsidRDefault="000240FB" w:rsidP="009D2E78">
            <w:pPr>
              <w:pStyle w:val="Header"/>
              <w:numPr>
                <w:ilvl w:val="1"/>
                <w:numId w:val="5"/>
              </w:numPr>
              <w:jc w:val="both"/>
            </w:pPr>
            <w:r>
              <w:t>the company that is the subject of the company or proxy proposal; and</w:t>
            </w:r>
          </w:p>
          <w:p w14:paraId="7EDF134F" w14:textId="4557B8E4" w:rsidR="00164C1C" w:rsidRDefault="000240FB" w:rsidP="009D2E78">
            <w:pPr>
              <w:pStyle w:val="Header"/>
              <w:numPr>
                <w:ilvl w:val="1"/>
                <w:numId w:val="5"/>
              </w:numPr>
              <w:jc w:val="both"/>
            </w:pPr>
            <w:r>
              <w:t>the attorney general; and</w:t>
            </w:r>
          </w:p>
          <w:p w14:paraId="6B06EB2C" w14:textId="033BCD28" w:rsidR="00230C91" w:rsidRDefault="000240FB" w:rsidP="009D2E78">
            <w:pPr>
              <w:pStyle w:val="Header"/>
              <w:numPr>
                <w:ilvl w:val="0"/>
                <w:numId w:val="5"/>
              </w:numPr>
              <w:jc w:val="both"/>
            </w:pPr>
            <w:r>
              <w:t>disclose which of the conflicting advice or recommendations is provided solely in the financial interest of the shareholders and supported by any specific financial analysis performed or relied on by the advisor.</w:t>
            </w:r>
          </w:p>
          <w:p w14:paraId="7E3F092A" w14:textId="70B45C4D" w:rsidR="00920095" w:rsidRDefault="000240FB" w:rsidP="009D2E78">
            <w:pPr>
              <w:pStyle w:val="Header"/>
              <w:jc w:val="both"/>
            </w:pPr>
            <w:r>
              <w:t>The bill defines "materially different</w:t>
            </w:r>
            <w:r w:rsidR="00381BB6">
              <w:t>,</w:t>
            </w:r>
            <w:r>
              <w:t>"</w:t>
            </w:r>
            <w:r w:rsidR="00381BB6">
              <w:t xml:space="preserve"> with respect to advice or a recommendation on ho</w:t>
            </w:r>
            <w:r w:rsidR="00C90CCA">
              <w:t>w</w:t>
            </w:r>
            <w:r w:rsidR="00381BB6">
              <w:t xml:space="preserve"> to vote on a company proposal or proxy proposal,</w:t>
            </w:r>
            <w:r w:rsidRPr="00BE16EE">
              <w:t xml:space="preserve"> </w:t>
            </w:r>
            <w:r>
              <w:t>as</w:t>
            </w:r>
            <w:r w:rsidRPr="00BE16EE">
              <w:t xml:space="preserve"> simultaneously advising or recommending that</w:t>
            </w:r>
            <w:r>
              <w:t xml:space="preserve"> one or more clients vote for the proposal and one or more clients vote against the proposal or that one or more clients vote for a nominee for a company's governing authority and one or more clients vote against or abstain from voting for the same nominee.</w:t>
            </w:r>
          </w:p>
          <w:p w14:paraId="3C9F44FB" w14:textId="77777777" w:rsidR="00947A33" w:rsidRDefault="00947A33" w:rsidP="009D2E78">
            <w:pPr>
              <w:pStyle w:val="Header"/>
              <w:jc w:val="both"/>
            </w:pPr>
          </w:p>
          <w:p w14:paraId="650F9138" w14:textId="2B913D31" w:rsidR="00164C1C" w:rsidRDefault="000240FB" w:rsidP="009D2E78">
            <w:pPr>
              <w:pStyle w:val="Header"/>
              <w:tabs>
                <w:tab w:val="clear" w:pos="4320"/>
                <w:tab w:val="clear" w:pos="8640"/>
              </w:tabs>
              <w:jc w:val="both"/>
            </w:pPr>
            <w:r>
              <w:t xml:space="preserve">S.B. 2337 </w:t>
            </w:r>
            <w:r w:rsidR="00F17AC4">
              <w:t xml:space="preserve">establishes that a violation of the bill's provisions is a deceptive trade practice </w:t>
            </w:r>
            <w:r>
              <w:t>under the</w:t>
            </w:r>
            <w:r w:rsidRPr="00947A33">
              <w:t xml:space="preserve"> Deceptive Trade Practices</w:t>
            </w:r>
            <w:r w:rsidR="002070CD">
              <w:t>-Consumer Protection</w:t>
            </w:r>
            <w:r w:rsidRPr="00947A33">
              <w:t xml:space="preserve"> A</w:t>
            </w:r>
            <w:r>
              <w:t>ct and is actionable under th</w:t>
            </w:r>
            <w:r w:rsidR="002070CD">
              <w:t>at</w:t>
            </w:r>
            <w:r>
              <w:t xml:space="preserve"> act's provisions relating to restraining orders. The bill authorizes an </w:t>
            </w:r>
            <w:r w:rsidRPr="00164C1C">
              <w:t>affected party</w:t>
            </w:r>
            <w:r>
              <w:t xml:space="preserve"> to</w:t>
            </w:r>
            <w:r w:rsidRPr="00164C1C">
              <w:t xml:space="preserve"> bring an action</w:t>
            </w:r>
            <w:r>
              <w:t xml:space="preserve"> seeking a declaratory judgment or injunctive relief</w:t>
            </w:r>
            <w:r w:rsidRPr="00164C1C">
              <w:t xml:space="preserve"> under </w:t>
            </w:r>
            <w:r w:rsidR="00381BB6">
              <w:t xml:space="preserve">the </w:t>
            </w:r>
            <w:r w:rsidR="0068076D">
              <w:t xml:space="preserve">Uniform </w:t>
            </w:r>
            <w:r w:rsidR="00381BB6">
              <w:t>Declaratory Judgments Act</w:t>
            </w:r>
            <w:r>
              <w:t xml:space="preserve"> against</w:t>
            </w:r>
            <w:r w:rsidRPr="00164C1C">
              <w:t xml:space="preserve"> a proxy advisor </w:t>
            </w:r>
            <w:r>
              <w:t>who violates</w:t>
            </w:r>
            <w:r w:rsidRPr="00164C1C">
              <w:t xml:space="preserve"> th</w:t>
            </w:r>
            <w:r>
              <w:t>e bill's provisions</w:t>
            </w:r>
            <w:r w:rsidR="00381BB6">
              <w:t>. The</w:t>
            </w:r>
            <w:r w:rsidR="0068076D">
              <w:t xml:space="preserve"> bill</w:t>
            </w:r>
            <w:r w:rsidR="00381BB6">
              <w:t xml:space="preserve"> establishes that</w:t>
            </w:r>
            <w:r w:rsidR="0068076D">
              <w:t>,</w:t>
            </w:r>
            <w:r>
              <w:t xml:space="preserve"> for such purposes</w:t>
            </w:r>
            <w:r w:rsidR="0068076D">
              <w:t>,</w:t>
            </w:r>
            <w:r>
              <w:t xml:space="preserve"> an "affected party" includes the following:</w:t>
            </w:r>
          </w:p>
          <w:p w14:paraId="5ED62F1D" w14:textId="78F40BE8" w:rsidR="00947A33" w:rsidRDefault="000240FB" w:rsidP="009D2E78">
            <w:pPr>
              <w:pStyle w:val="Header"/>
              <w:numPr>
                <w:ilvl w:val="0"/>
                <w:numId w:val="11"/>
              </w:numPr>
              <w:tabs>
                <w:tab w:val="clear" w:pos="4320"/>
                <w:tab w:val="clear" w:pos="8640"/>
              </w:tabs>
              <w:jc w:val="both"/>
            </w:pPr>
            <w:r w:rsidRPr="00947A33">
              <w:t>the recipient of proxy advisory services provided by the proxy advisor;</w:t>
            </w:r>
          </w:p>
          <w:p w14:paraId="21AC0718" w14:textId="77777777" w:rsidR="00947A33" w:rsidRDefault="000240FB" w:rsidP="009D2E78">
            <w:pPr>
              <w:pStyle w:val="Header"/>
              <w:numPr>
                <w:ilvl w:val="0"/>
                <w:numId w:val="11"/>
              </w:numPr>
              <w:jc w:val="both"/>
            </w:pPr>
            <w:r>
              <w:t>the company that is the subject of the proxy advisory services; or</w:t>
            </w:r>
          </w:p>
          <w:p w14:paraId="3DD202A0" w14:textId="3D695A87" w:rsidR="00947A33" w:rsidRDefault="000240FB" w:rsidP="009D2E78">
            <w:pPr>
              <w:pStyle w:val="Header"/>
              <w:numPr>
                <w:ilvl w:val="0"/>
                <w:numId w:val="11"/>
              </w:numPr>
              <w:tabs>
                <w:tab w:val="clear" w:pos="4320"/>
                <w:tab w:val="clear" w:pos="8640"/>
              </w:tabs>
              <w:jc w:val="both"/>
            </w:pPr>
            <w:r>
              <w:t>any shareholder of that company.</w:t>
            </w:r>
          </w:p>
          <w:p w14:paraId="479A0364" w14:textId="031514A2" w:rsidR="0036674E" w:rsidRDefault="000240FB" w:rsidP="009D2E78">
            <w:pPr>
              <w:pStyle w:val="Header"/>
              <w:tabs>
                <w:tab w:val="clear" w:pos="4320"/>
                <w:tab w:val="clear" w:pos="8640"/>
              </w:tabs>
              <w:jc w:val="both"/>
            </w:pPr>
            <w:r>
              <w:t>The</w:t>
            </w:r>
            <w:r w:rsidR="00EE2830" w:rsidRPr="00EE2830">
              <w:t xml:space="preserve"> </w:t>
            </w:r>
            <w:r w:rsidR="00EE2830">
              <w:t xml:space="preserve">bill requires the </w:t>
            </w:r>
            <w:r w:rsidR="00EE2830" w:rsidRPr="00EE2830">
              <w:t>plaintiff</w:t>
            </w:r>
            <w:r>
              <w:t>, not later than the seventh day after the date on which such an action is brought,</w:t>
            </w:r>
            <w:r w:rsidR="00EE2830" w:rsidRPr="00EE2830">
              <w:t xml:space="preserve"> </w:t>
            </w:r>
            <w:r w:rsidR="00EE2830">
              <w:t>to</w:t>
            </w:r>
            <w:r w:rsidR="00EE2830" w:rsidRPr="00EE2830">
              <w:t xml:space="preserve"> provide notice to the attorney general, who may intervene in the action.</w:t>
            </w:r>
          </w:p>
          <w:p w14:paraId="43B28C98" w14:textId="77777777" w:rsidR="00EE2830" w:rsidRDefault="00EE2830" w:rsidP="009D2E78">
            <w:pPr>
              <w:pStyle w:val="Header"/>
              <w:tabs>
                <w:tab w:val="clear" w:pos="4320"/>
                <w:tab w:val="clear" w:pos="8640"/>
              </w:tabs>
              <w:jc w:val="both"/>
            </w:pPr>
          </w:p>
          <w:p w14:paraId="3E14A7EF" w14:textId="5AC53722" w:rsidR="0036674E" w:rsidRDefault="000240FB" w:rsidP="009D2E78">
            <w:pPr>
              <w:pStyle w:val="Header"/>
              <w:tabs>
                <w:tab w:val="clear" w:pos="4320"/>
                <w:tab w:val="clear" w:pos="8640"/>
              </w:tabs>
              <w:jc w:val="both"/>
            </w:pPr>
            <w:r>
              <w:t>S.B. 2337 defines the following terms for purposes of the bill's provisions:</w:t>
            </w:r>
          </w:p>
          <w:p w14:paraId="550D2369" w14:textId="7DE5504C" w:rsidR="0036674E" w:rsidRDefault="000240FB" w:rsidP="009D2E78">
            <w:pPr>
              <w:pStyle w:val="Header"/>
              <w:numPr>
                <w:ilvl w:val="0"/>
                <w:numId w:val="7"/>
              </w:numPr>
              <w:jc w:val="both"/>
            </w:pPr>
            <w:r>
              <w:t xml:space="preserve">"company" as a publicly traded, for-profit </w:t>
            </w:r>
            <w:r w:rsidR="00357053">
              <w:t xml:space="preserve">corporation, limited liability company, partnership, or other business entity </w:t>
            </w:r>
            <w:r w:rsidR="002070CD">
              <w:t xml:space="preserve">that is </w:t>
            </w:r>
            <w:r>
              <w:t xml:space="preserve">organized or created under </w:t>
            </w:r>
            <w:r w:rsidR="002070CD">
              <w:t xml:space="preserve">Texas </w:t>
            </w:r>
            <w:r>
              <w:t xml:space="preserve">law or </w:t>
            </w:r>
            <w:r w:rsidR="00357053">
              <w:t>that has its</w:t>
            </w:r>
            <w:r>
              <w:t xml:space="preserve"> principal place of business in Texas;</w:t>
            </w:r>
          </w:p>
          <w:p w14:paraId="1BD7959B" w14:textId="2420D01F" w:rsidR="0036674E" w:rsidRDefault="000240FB" w:rsidP="009D2E78">
            <w:pPr>
              <w:pStyle w:val="Header"/>
              <w:numPr>
                <w:ilvl w:val="0"/>
                <w:numId w:val="7"/>
              </w:numPr>
              <w:jc w:val="both"/>
            </w:pPr>
            <w:r>
              <w:t xml:space="preserve">"company proposal" as </w:t>
            </w:r>
            <w:r w:rsidR="00307081">
              <w:t xml:space="preserve">a </w:t>
            </w:r>
            <w:r>
              <w:t xml:space="preserve">proposal made by a company that is included in </w:t>
            </w:r>
            <w:r w:rsidR="0068076D">
              <w:t>the</w:t>
            </w:r>
            <w:r>
              <w:t xml:space="preserve"> company's proxy statement, including </w:t>
            </w:r>
            <w:r w:rsidR="00307081">
              <w:t xml:space="preserve">a </w:t>
            </w:r>
            <w:r>
              <w:t xml:space="preserve">proposal regarding director </w:t>
            </w:r>
            <w:r w:rsidR="00307081">
              <w:t xml:space="preserve">nominations or </w:t>
            </w:r>
            <w:r>
              <w:t xml:space="preserve">elections, executive compensation, corporate transactions and structure, auditor selection, </w:t>
            </w:r>
            <w:r w:rsidR="00307081">
              <w:t xml:space="preserve">or </w:t>
            </w:r>
            <w:r>
              <w:t>similar measures;</w:t>
            </w:r>
          </w:p>
          <w:p w14:paraId="7CE4841A" w14:textId="4BFE9F24" w:rsidR="0036674E" w:rsidRDefault="000240FB" w:rsidP="009D2E78">
            <w:pPr>
              <w:pStyle w:val="Header"/>
              <w:numPr>
                <w:ilvl w:val="0"/>
                <w:numId w:val="7"/>
              </w:numPr>
              <w:jc w:val="both"/>
            </w:pPr>
            <w:r>
              <w:t xml:space="preserve">"proxy advisor" as a person who, for compensation, provides </w:t>
            </w:r>
            <w:r w:rsidR="00B741FD">
              <w:t xml:space="preserve">a </w:t>
            </w:r>
            <w:r>
              <w:t xml:space="preserve">proxy advisory service to shareholders of a company or to other </w:t>
            </w:r>
            <w:r w:rsidR="00B741FD">
              <w:t>persons with authority to vote on behalf of shareholders of a company</w:t>
            </w:r>
            <w:r>
              <w:t>;</w:t>
            </w:r>
          </w:p>
          <w:p w14:paraId="323AD1A8" w14:textId="022C031F" w:rsidR="0036674E" w:rsidRDefault="000240FB" w:rsidP="009D2E78">
            <w:pPr>
              <w:pStyle w:val="Header"/>
              <w:numPr>
                <w:ilvl w:val="0"/>
                <w:numId w:val="7"/>
              </w:numPr>
              <w:jc w:val="both"/>
            </w:pPr>
            <w:r>
              <w:t xml:space="preserve">"proxy advisory service" as any of the following services </w:t>
            </w:r>
            <w:r w:rsidR="00B741FD">
              <w:t xml:space="preserve">that are provided </w:t>
            </w:r>
            <w:r>
              <w:t xml:space="preserve">in connection with or </w:t>
            </w:r>
            <w:r w:rsidR="00B741FD">
              <w:t xml:space="preserve">in relation </w:t>
            </w:r>
            <w:r>
              <w:t>to a company:</w:t>
            </w:r>
          </w:p>
          <w:p w14:paraId="683DE51B" w14:textId="6D8063F9" w:rsidR="0036674E" w:rsidRDefault="000240FB" w:rsidP="009D2E78">
            <w:pPr>
              <w:pStyle w:val="Header"/>
              <w:numPr>
                <w:ilvl w:val="1"/>
                <w:numId w:val="7"/>
              </w:numPr>
              <w:jc w:val="both"/>
            </w:pPr>
            <w:r>
              <w:t xml:space="preserve">advice or </w:t>
            </w:r>
            <w:r w:rsidR="00C90CCA">
              <w:t xml:space="preserve">a </w:t>
            </w:r>
            <w:r>
              <w:t xml:space="preserve">recommendation on how to vote </w:t>
            </w:r>
            <w:r w:rsidR="00B741FD">
              <w:t>on a</w:t>
            </w:r>
            <w:r>
              <w:t xml:space="preserve"> proxy proposal </w:t>
            </w:r>
            <w:r w:rsidR="00B741FD">
              <w:t>or</w:t>
            </w:r>
            <w:r>
              <w:t xml:space="preserve"> company proposal;</w:t>
            </w:r>
          </w:p>
          <w:p w14:paraId="58EAC4B9" w14:textId="090B2433" w:rsidR="0036674E" w:rsidRDefault="000240FB" w:rsidP="009D2E78">
            <w:pPr>
              <w:pStyle w:val="Header"/>
              <w:numPr>
                <w:ilvl w:val="1"/>
                <w:numId w:val="7"/>
              </w:numPr>
              <w:jc w:val="both"/>
            </w:pPr>
            <w:r>
              <w:t>proxy statement research and analys</w:t>
            </w:r>
            <w:r w:rsidR="00B741FD">
              <w:t>is</w:t>
            </w:r>
            <w:r>
              <w:t xml:space="preserve"> regard</w:t>
            </w:r>
            <w:r w:rsidR="00945CFD">
              <w:t>ing</w:t>
            </w:r>
            <w:r>
              <w:t xml:space="preserve"> </w:t>
            </w:r>
            <w:r w:rsidR="00945CFD">
              <w:t>a</w:t>
            </w:r>
            <w:r>
              <w:t xml:space="preserve"> proxy proposal</w:t>
            </w:r>
            <w:r w:rsidR="00945CFD">
              <w:t xml:space="preserve"> or</w:t>
            </w:r>
            <w:r>
              <w:t xml:space="preserve"> company proposal;</w:t>
            </w:r>
          </w:p>
          <w:p w14:paraId="61579E7B" w14:textId="0FFEF771" w:rsidR="0036674E" w:rsidRDefault="000240FB" w:rsidP="009D2E78">
            <w:pPr>
              <w:pStyle w:val="Header"/>
              <w:numPr>
                <w:ilvl w:val="1"/>
                <w:numId w:val="7"/>
              </w:numPr>
              <w:jc w:val="both"/>
            </w:pPr>
            <w:r>
              <w:t xml:space="preserve">a rating or research </w:t>
            </w:r>
            <w:r w:rsidR="00945CFD">
              <w:t>regarding corporate governance</w:t>
            </w:r>
            <w:r>
              <w:t>;</w:t>
            </w:r>
            <w:r w:rsidR="00945CFD">
              <w:t xml:space="preserve"> </w:t>
            </w:r>
            <w:r w:rsidR="00F94ED1">
              <w:t>or</w:t>
            </w:r>
          </w:p>
          <w:p w14:paraId="19ACE735" w14:textId="35512053" w:rsidR="0036674E" w:rsidRDefault="000240FB" w:rsidP="009D2E78">
            <w:pPr>
              <w:pStyle w:val="Header"/>
              <w:numPr>
                <w:ilvl w:val="1"/>
                <w:numId w:val="7"/>
              </w:numPr>
              <w:jc w:val="both"/>
            </w:pPr>
            <w:r>
              <w:t xml:space="preserve">development of proxy voting </w:t>
            </w:r>
            <w:r>
              <w:t xml:space="preserve">recommendations or policies, including establishing default recommendations or policies; </w:t>
            </w:r>
          </w:p>
          <w:p w14:paraId="2B1BC14C" w14:textId="559BC62B" w:rsidR="0036674E" w:rsidRDefault="000240FB" w:rsidP="009D2E78">
            <w:pPr>
              <w:pStyle w:val="Header"/>
              <w:numPr>
                <w:ilvl w:val="0"/>
                <w:numId w:val="7"/>
              </w:numPr>
              <w:jc w:val="both"/>
            </w:pPr>
            <w:r>
              <w:t xml:space="preserve">"proxy proposal" as </w:t>
            </w:r>
            <w:r w:rsidR="00F94ED1">
              <w:t xml:space="preserve">a </w:t>
            </w:r>
            <w:r>
              <w:t>proposal made by a</w:t>
            </w:r>
            <w:r w:rsidR="00F94ED1">
              <w:t xml:space="preserve"> company'</w:t>
            </w:r>
            <w:r w:rsidR="00DA6011">
              <w:t>s</w:t>
            </w:r>
            <w:r>
              <w:t xml:space="preserve"> shareholder that is included in the company's proxy statement</w:t>
            </w:r>
            <w:r w:rsidR="00DA6011">
              <w:t>, including the nomination of a director</w:t>
            </w:r>
            <w:r>
              <w:t>; and</w:t>
            </w:r>
          </w:p>
          <w:p w14:paraId="23B1C553" w14:textId="269C3EF0" w:rsidR="0036674E" w:rsidRDefault="000240FB" w:rsidP="009D2E78">
            <w:pPr>
              <w:pStyle w:val="Header"/>
              <w:numPr>
                <w:ilvl w:val="0"/>
                <w:numId w:val="7"/>
              </w:numPr>
              <w:tabs>
                <w:tab w:val="clear" w:pos="4320"/>
                <w:tab w:val="clear" w:pos="8640"/>
              </w:tabs>
              <w:jc w:val="both"/>
            </w:pPr>
            <w:r>
              <w:t>"shareholder" as including a shareholder, unitholder, limited partner, or other equity owner of a company.</w:t>
            </w:r>
          </w:p>
          <w:p w14:paraId="0FCF1959" w14:textId="77777777" w:rsidR="00164C1C" w:rsidRDefault="00164C1C" w:rsidP="009D2E78">
            <w:pPr>
              <w:pStyle w:val="Header"/>
              <w:tabs>
                <w:tab w:val="clear" w:pos="4320"/>
                <w:tab w:val="clear" w:pos="8640"/>
              </w:tabs>
              <w:jc w:val="both"/>
            </w:pPr>
          </w:p>
          <w:p w14:paraId="455D5003" w14:textId="6B3BCEC7" w:rsidR="00164C1C" w:rsidRDefault="000240FB" w:rsidP="009D2E78">
            <w:pPr>
              <w:pStyle w:val="Header"/>
              <w:tabs>
                <w:tab w:val="clear" w:pos="4320"/>
                <w:tab w:val="clear" w:pos="8640"/>
              </w:tabs>
              <w:jc w:val="both"/>
            </w:pPr>
            <w:r>
              <w:t xml:space="preserve">S.B. 2337 </w:t>
            </w:r>
            <w:r w:rsidRPr="00164C1C">
              <w:t>appl</w:t>
            </w:r>
            <w:r>
              <w:t>ies</w:t>
            </w:r>
            <w:r w:rsidRPr="00164C1C">
              <w:t xml:space="preserve"> only to</w:t>
            </w:r>
            <w:r w:rsidR="006B4D38">
              <w:t xml:space="preserve"> a</w:t>
            </w:r>
            <w:r w:rsidRPr="00164C1C">
              <w:t xml:space="preserve"> proxy advisory service </w:t>
            </w:r>
            <w:r w:rsidR="006B4D38">
              <w:t>provided</w:t>
            </w:r>
            <w:r w:rsidR="006B4D38" w:rsidRPr="00164C1C">
              <w:t xml:space="preserve"> </w:t>
            </w:r>
            <w:r w:rsidRPr="00164C1C">
              <w:t>on or after the</w:t>
            </w:r>
            <w:r>
              <w:t xml:space="preserve"> bill's</w:t>
            </w:r>
            <w:r w:rsidRPr="00164C1C">
              <w:t xml:space="preserve"> effective date. </w:t>
            </w:r>
          </w:p>
          <w:p w14:paraId="00207AC3" w14:textId="77777777" w:rsidR="006D6169" w:rsidRDefault="006D6169" w:rsidP="009D2E78">
            <w:pPr>
              <w:pStyle w:val="Header"/>
              <w:tabs>
                <w:tab w:val="clear" w:pos="4320"/>
                <w:tab w:val="clear" w:pos="8640"/>
              </w:tabs>
              <w:jc w:val="both"/>
            </w:pPr>
          </w:p>
          <w:p w14:paraId="30F051FB" w14:textId="79CDBB91" w:rsidR="006D6169" w:rsidRDefault="000240FB" w:rsidP="009D2E78">
            <w:pPr>
              <w:pStyle w:val="Header"/>
              <w:tabs>
                <w:tab w:val="clear" w:pos="4320"/>
                <w:tab w:val="clear" w:pos="8640"/>
              </w:tabs>
              <w:jc w:val="both"/>
            </w:pPr>
            <w:r>
              <w:t>S.B. 2337 sets out the following legislative findings:</w:t>
            </w:r>
          </w:p>
          <w:p w14:paraId="45CF59A1" w14:textId="03EFB21C" w:rsidR="006D6169" w:rsidRDefault="000240FB" w:rsidP="009D2E78">
            <w:pPr>
              <w:pStyle w:val="Header"/>
              <w:numPr>
                <w:ilvl w:val="0"/>
                <w:numId w:val="13"/>
              </w:numPr>
              <w:jc w:val="both"/>
            </w:pPr>
            <w:r>
              <w:t>when shareholders in Texas hire professionals to provide advice in the exercise of their rights as shareholders, the shareholders expect that service to be performed in their financial interest as shareholders, and professionals who are hired by shareholders to provide that service and who deviate from that expectation must clearly disclose that fact;</w:t>
            </w:r>
          </w:p>
          <w:p w14:paraId="4925E691" w14:textId="346739FE" w:rsidR="006D6169" w:rsidRDefault="000240FB" w:rsidP="009D2E78">
            <w:pPr>
              <w:pStyle w:val="Header"/>
              <w:numPr>
                <w:ilvl w:val="0"/>
                <w:numId w:val="13"/>
              </w:numPr>
              <w:jc w:val="both"/>
            </w:pPr>
            <w:r>
              <w:t>there is a particular need for disclosures for proxy voting advice because that advice is often provided for hundreds or thousands of shareholder votes each year and based on lengthy policies that contain general statements but do not explain whether or how the policy provisions will maximize returns for investors for any particular company or shareholder vote;</w:t>
            </w:r>
          </w:p>
          <w:p w14:paraId="1DE7203A" w14:textId="4CC9FE74" w:rsidR="006D6169" w:rsidRDefault="000240FB" w:rsidP="009D2E78">
            <w:pPr>
              <w:pStyle w:val="Header"/>
              <w:numPr>
                <w:ilvl w:val="0"/>
                <w:numId w:val="13"/>
              </w:numPr>
              <w:jc w:val="both"/>
            </w:pPr>
            <w:r>
              <w:t>proxy advisors:</w:t>
            </w:r>
          </w:p>
          <w:p w14:paraId="20DF0698" w14:textId="24780D64" w:rsidR="006D6169" w:rsidRDefault="000240FB" w:rsidP="009D2E78">
            <w:pPr>
              <w:pStyle w:val="Header"/>
              <w:numPr>
                <w:ilvl w:val="1"/>
                <w:numId w:val="13"/>
              </w:numPr>
              <w:jc w:val="both"/>
            </w:pPr>
            <w:r>
              <w:t>have recommended votes based on environmental, social, or governance (ESG) investing, diversity, equity, or inclusion (DEI), and social credit or sustainability scores; and</w:t>
            </w:r>
          </w:p>
          <w:p w14:paraId="30A70D2D" w14:textId="36531CB8" w:rsidR="006D6169" w:rsidRDefault="000240FB" w:rsidP="009D2E78">
            <w:pPr>
              <w:pStyle w:val="Header"/>
              <w:numPr>
                <w:ilvl w:val="1"/>
                <w:numId w:val="13"/>
              </w:numPr>
              <w:jc w:val="both"/>
            </w:pPr>
            <w:r>
              <w:t>have not conducted financial analyses before making such recommendations despite having proxy voting policies claiming that the purpose of the recommendation is maximizing and protecting shareholder value;</w:t>
            </w:r>
          </w:p>
          <w:p w14:paraId="11B010B4" w14:textId="43675AD4" w:rsidR="006D6169" w:rsidRDefault="000240FB" w:rsidP="009D2E78">
            <w:pPr>
              <w:pStyle w:val="Header"/>
              <w:numPr>
                <w:ilvl w:val="0"/>
                <w:numId w:val="13"/>
              </w:numPr>
              <w:jc w:val="both"/>
            </w:pPr>
            <w:r>
              <w:t>requiring proxy advisors to provide clear, factual disclosures when the advisors recommend casting a vote for nonfinancial reasons or provide conflicting advice to multiple clients who seek to maximize financial returns is necessary to prevent fraudulent or deceptive acts and practices in Texas; and</w:t>
            </w:r>
          </w:p>
          <w:p w14:paraId="76CA06DF" w14:textId="7C566871" w:rsidR="006D6169" w:rsidRPr="009C36CD" w:rsidRDefault="000240FB" w:rsidP="009D2E78">
            <w:pPr>
              <w:pStyle w:val="Header"/>
              <w:numPr>
                <w:ilvl w:val="0"/>
                <w:numId w:val="13"/>
              </w:numPr>
              <w:tabs>
                <w:tab w:val="clear" w:pos="4320"/>
                <w:tab w:val="clear" w:pos="8640"/>
              </w:tabs>
              <w:jc w:val="both"/>
            </w:pPr>
            <w:r>
              <w:t xml:space="preserve">a company that is the subject of a shareholder proposal may </w:t>
            </w:r>
            <w:r>
              <w:t>have information regarding whether the proposal is in the shareholder's financial interests or regarding the costs of the proposal, and notice would allow the company to provide relevant information to shareholders that may prevent fraudulent or deceptive practices associated with proxy advisors making recommendations for nonfinancial reasons.</w:t>
            </w:r>
          </w:p>
          <w:p w14:paraId="350404E4" w14:textId="77777777" w:rsidR="008423E4" w:rsidRPr="00835628" w:rsidRDefault="008423E4" w:rsidP="009D2E78">
            <w:pPr>
              <w:rPr>
                <w:b/>
              </w:rPr>
            </w:pPr>
          </w:p>
        </w:tc>
      </w:tr>
      <w:tr w:rsidR="00511C3F" w14:paraId="6641AA8C" w14:textId="77777777" w:rsidTr="00345119">
        <w:tc>
          <w:tcPr>
            <w:tcW w:w="9576" w:type="dxa"/>
          </w:tcPr>
          <w:p w14:paraId="0553534F" w14:textId="77777777" w:rsidR="008423E4" w:rsidRPr="00A8133F" w:rsidRDefault="000240FB" w:rsidP="009D2E78">
            <w:pPr>
              <w:rPr>
                <w:b/>
              </w:rPr>
            </w:pPr>
            <w:r w:rsidRPr="009C1E9A">
              <w:rPr>
                <w:b/>
                <w:u w:val="single"/>
              </w:rPr>
              <w:t>EFFECTIVE DATE</w:t>
            </w:r>
            <w:r>
              <w:rPr>
                <w:b/>
              </w:rPr>
              <w:t xml:space="preserve"> </w:t>
            </w:r>
          </w:p>
          <w:p w14:paraId="68AFC34E" w14:textId="77777777" w:rsidR="008423E4" w:rsidRDefault="008423E4" w:rsidP="009D2E78"/>
          <w:p w14:paraId="0DB7FBC0" w14:textId="70789FF4" w:rsidR="008423E4" w:rsidRPr="007B411C" w:rsidRDefault="000240FB" w:rsidP="009D2E78">
            <w:pPr>
              <w:pStyle w:val="Header"/>
              <w:tabs>
                <w:tab w:val="clear" w:pos="4320"/>
                <w:tab w:val="clear" w:pos="8640"/>
              </w:tabs>
              <w:jc w:val="both"/>
            </w:pPr>
            <w:r>
              <w:t>July 1, 2025</w:t>
            </w:r>
            <w:r w:rsidR="00164C1C">
              <w:t>, or, if the bill does not receive the necessary vote, September 1, 2025.</w:t>
            </w:r>
          </w:p>
        </w:tc>
      </w:tr>
    </w:tbl>
    <w:p w14:paraId="0038A6BD" w14:textId="77777777" w:rsidR="008423E4" w:rsidRPr="00BE0E75" w:rsidRDefault="008423E4" w:rsidP="009D2E78">
      <w:pPr>
        <w:jc w:val="both"/>
        <w:rPr>
          <w:rFonts w:ascii="Arial" w:hAnsi="Arial"/>
          <w:sz w:val="16"/>
          <w:szCs w:val="16"/>
        </w:rPr>
      </w:pPr>
    </w:p>
    <w:p w14:paraId="18614707" w14:textId="77777777" w:rsidR="004108C3" w:rsidRPr="008423E4" w:rsidRDefault="004108C3" w:rsidP="009D2E78"/>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4EE88" w14:textId="77777777" w:rsidR="000240FB" w:rsidRDefault="000240FB">
      <w:r>
        <w:separator/>
      </w:r>
    </w:p>
  </w:endnote>
  <w:endnote w:type="continuationSeparator" w:id="0">
    <w:p w14:paraId="1BA5F6CF" w14:textId="77777777" w:rsidR="000240FB" w:rsidRDefault="00024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9972E"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511C3F" w14:paraId="6BE60A9D" w14:textId="77777777" w:rsidTr="009C1E9A">
      <w:trPr>
        <w:cantSplit/>
      </w:trPr>
      <w:tc>
        <w:tcPr>
          <w:tcW w:w="0" w:type="pct"/>
        </w:tcPr>
        <w:p w14:paraId="5E04AD40" w14:textId="77777777" w:rsidR="00137D90" w:rsidRDefault="00137D90" w:rsidP="009C1E9A">
          <w:pPr>
            <w:pStyle w:val="Footer"/>
            <w:tabs>
              <w:tab w:val="clear" w:pos="8640"/>
              <w:tab w:val="right" w:pos="9360"/>
            </w:tabs>
          </w:pPr>
        </w:p>
      </w:tc>
      <w:tc>
        <w:tcPr>
          <w:tcW w:w="2395" w:type="pct"/>
        </w:tcPr>
        <w:p w14:paraId="74776B0E" w14:textId="77777777" w:rsidR="00137D90" w:rsidRDefault="00137D90" w:rsidP="009C1E9A">
          <w:pPr>
            <w:pStyle w:val="Footer"/>
            <w:tabs>
              <w:tab w:val="clear" w:pos="8640"/>
              <w:tab w:val="right" w:pos="9360"/>
            </w:tabs>
          </w:pPr>
        </w:p>
        <w:p w14:paraId="2452ED20" w14:textId="77777777" w:rsidR="001A4310" w:rsidRDefault="001A4310" w:rsidP="009C1E9A">
          <w:pPr>
            <w:pStyle w:val="Footer"/>
            <w:tabs>
              <w:tab w:val="clear" w:pos="8640"/>
              <w:tab w:val="right" w:pos="9360"/>
            </w:tabs>
          </w:pPr>
        </w:p>
        <w:p w14:paraId="1C5FB3FA" w14:textId="77777777" w:rsidR="00137D90" w:rsidRDefault="00137D90" w:rsidP="009C1E9A">
          <w:pPr>
            <w:pStyle w:val="Footer"/>
            <w:tabs>
              <w:tab w:val="clear" w:pos="8640"/>
              <w:tab w:val="right" w:pos="9360"/>
            </w:tabs>
          </w:pPr>
        </w:p>
      </w:tc>
      <w:tc>
        <w:tcPr>
          <w:tcW w:w="2453" w:type="pct"/>
        </w:tcPr>
        <w:p w14:paraId="1E883F03" w14:textId="77777777" w:rsidR="00137D90" w:rsidRDefault="00137D90" w:rsidP="009C1E9A">
          <w:pPr>
            <w:pStyle w:val="Footer"/>
            <w:tabs>
              <w:tab w:val="clear" w:pos="8640"/>
              <w:tab w:val="right" w:pos="9360"/>
            </w:tabs>
            <w:jc w:val="right"/>
          </w:pPr>
        </w:p>
      </w:tc>
    </w:tr>
    <w:tr w:rsidR="00511C3F" w14:paraId="346A1C1D" w14:textId="77777777" w:rsidTr="009C1E9A">
      <w:trPr>
        <w:cantSplit/>
      </w:trPr>
      <w:tc>
        <w:tcPr>
          <w:tcW w:w="0" w:type="pct"/>
        </w:tcPr>
        <w:p w14:paraId="73320F89" w14:textId="77777777" w:rsidR="00EC379B" w:rsidRDefault="00EC379B" w:rsidP="009C1E9A">
          <w:pPr>
            <w:pStyle w:val="Footer"/>
            <w:tabs>
              <w:tab w:val="clear" w:pos="8640"/>
              <w:tab w:val="right" w:pos="9360"/>
            </w:tabs>
          </w:pPr>
        </w:p>
      </w:tc>
      <w:tc>
        <w:tcPr>
          <w:tcW w:w="2395" w:type="pct"/>
        </w:tcPr>
        <w:p w14:paraId="628AE730" w14:textId="64CA5D4C" w:rsidR="00EC379B" w:rsidRPr="009C1E9A" w:rsidRDefault="000240FB" w:rsidP="009C1E9A">
          <w:pPr>
            <w:pStyle w:val="Footer"/>
            <w:tabs>
              <w:tab w:val="clear" w:pos="8640"/>
              <w:tab w:val="right" w:pos="9360"/>
            </w:tabs>
            <w:rPr>
              <w:rFonts w:ascii="Shruti" w:hAnsi="Shruti"/>
              <w:sz w:val="22"/>
            </w:rPr>
          </w:pPr>
          <w:r>
            <w:rPr>
              <w:rFonts w:ascii="Shruti" w:hAnsi="Shruti"/>
              <w:sz w:val="22"/>
            </w:rPr>
            <w:t>89R 32099-D</w:t>
          </w:r>
        </w:p>
      </w:tc>
      <w:tc>
        <w:tcPr>
          <w:tcW w:w="2453" w:type="pct"/>
        </w:tcPr>
        <w:p w14:paraId="05D4165A" w14:textId="61466918" w:rsidR="00EC379B" w:rsidRDefault="000240FB" w:rsidP="009C1E9A">
          <w:pPr>
            <w:pStyle w:val="Footer"/>
            <w:tabs>
              <w:tab w:val="clear" w:pos="8640"/>
              <w:tab w:val="right" w:pos="9360"/>
            </w:tabs>
            <w:jc w:val="right"/>
          </w:pPr>
          <w:r>
            <w:fldChar w:fldCharType="begin"/>
          </w:r>
          <w:r>
            <w:instrText xml:space="preserve"> DOCPROPERTY  OTID  \* MERGEFORMAT </w:instrText>
          </w:r>
          <w:r>
            <w:fldChar w:fldCharType="separate"/>
          </w:r>
          <w:r w:rsidR="004E122C">
            <w:t>25.140.1138</w:t>
          </w:r>
          <w:r>
            <w:fldChar w:fldCharType="end"/>
          </w:r>
        </w:p>
      </w:tc>
    </w:tr>
    <w:tr w:rsidR="00511C3F" w14:paraId="43340749" w14:textId="77777777" w:rsidTr="009C1E9A">
      <w:trPr>
        <w:cantSplit/>
      </w:trPr>
      <w:tc>
        <w:tcPr>
          <w:tcW w:w="0" w:type="pct"/>
        </w:tcPr>
        <w:p w14:paraId="65C55ED2" w14:textId="77777777" w:rsidR="00EC379B" w:rsidRDefault="00EC379B" w:rsidP="009C1E9A">
          <w:pPr>
            <w:pStyle w:val="Footer"/>
            <w:tabs>
              <w:tab w:val="clear" w:pos="4320"/>
              <w:tab w:val="clear" w:pos="8640"/>
              <w:tab w:val="left" w:pos="2865"/>
            </w:tabs>
          </w:pPr>
        </w:p>
      </w:tc>
      <w:tc>
        <w:tcPr>
          <w:tcW w:w="2395" w:type="pct"/>
        </w:tcPr>
        <w:p w14:paraId="5FD399C5"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53BF0198" w14:textId="77777777" w:rsidR="00EC379B" w:rsidRDefault="00EC379B" w:rsidP="006D504F">
          <w:pPr>
            <w:pStyle w:val="Footer"/>
            <w:rPr>
              <w:rStyle w:val="PageNumber"/>
            </w:rPr>
          </w:pPr>
        </w:p>
        <w:p w14:paraId="61ACF4B1" w14:textId="77777777" w:rsidR="00EC379B" w:rsidRDefault="00EC379B" w:rsidP="009C1E9A">
          <w:pPr>
            <w:pStyle w:val="Footer"/>
            <w:tabs>
              <w:tab w:val="clear" w:pos="8640"/>
              <w:tab w:val="right" w:pos="9360"/>
            </w:tabs>
            <w:jc w:val="right"/>
          </w:pPr>
        </w:p>
      </w:tc>
    </w:tr>
    <w:tr w:rsidR="00511C3F" w14:paraId="6D9E98D1" w14:textId="77777777" w:rsidTr="009C1E9A">
      <w:trPr>
        <w:cantSplit/>
        <w:trHeight w:val="323"/>
      </w:trPr>
      <w:tc>
        <w:tcPr>
          <w:tcW w:w="0" w:type="pct"/>
          <w:gridSpan w:val="3"/>
        </w:tcPr>
        <w:p w14:paraId="3E086552" w14:textId="77777777" w:rsidR="00EC379B" w:rsidRDefault="000240F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323C08C" w14:textId="77777777" w:rsidR="00EC379B" w:rsidRDefault="00EC379B" w:rsidP="009C1E9A">
          <w:pPr>
            <w:pStyle w:val="Footer"/>
            <w:tabs>
              <w:tab w:val="clear" w:pos="8640"/>
              <w:tab w:val="right" w:pos="9360"/>
            </w:tabs>
            <w:jc w:val="center"/>
          </w:pPr>
        </w:p>
      </w:tc>
    </w:tr>
  </w:tbl>
  <w:p w14:paraId="7859819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2CAB"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56208" w14:textId="77777777" w:rsidR="000240FB" w:rsidRDefault="000240FB">
      <w:r>
        <w:separator/>
      </w:r>
    </w:p>
  </w:footnote>
  <w:footnote w:type="continuationSeparator" w:id="0">
    <w:p w14:paraId="049E19C2" w14:textId="77777777" w:rsidR="000240FB" w:rsidRDefault="00024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8D30C"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0429A"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31633"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805"/>
    <w:multiLevelType w:val="hybridMultilevel"/>
    <w:tmpl w:val="14F6A382"/>
    <w:lvl w:ilvl="0" w:tplc="9A728ABA">
      <w:start w:val="1"/>
      <w:numFmt w:val="bullet"/>
      <w:lvlText w:val=""/>
      <w:lvlJc w:val="left"/>
      <w:pPr>
        <w:tabs>
          <w:tab w:val="num" w:pos="720"/>
        </w:tabs>
        <w:ind w:left="720" w:hanging="360"/>
      </w:pPr>
      <w:rPr>
        <w:rFonts w:ascii="Symbol" w:hAnsi="Symbol" w:hint="default"/>
      </w:rPr>
    </w:lvl>
    <w:lvl w:ilvl="1" w:tplc="8FEE1F90">
      <w:start w:val="1"/>
      <w:numFmt w:val="bullet"/>
      <w:lvlText w:val="o"/>
      <w:lvlJc w:val="left"/>
      <w:pPr>
        <w:ind w:left="1440" w:hanging="360"/>
      </w:pPr>
      <w:rPr>
        <w:rFonts w:ascii="Courier New" w:hAnsi="Courier New" w:cs="Courier New" w:hint="default"/>
      </w:rPr>
    </w:lvl>
    <w:lvl w:ilvl="2" w:tplc="4D66B6C0" w:tentative="1">
      <w:start w:val="1"/>
      <w:numFmt w:val="bullet"/>
      <w:lvlText w:val=""/>
      <w:lvlJc w:val="left"/>
      <w:pPr>
        <w:ind w:left="2160" w:hanging="360"/>
      </w:pPr>
      <w:rPr>
        <w:rFonts w:ascii="Wingdings" w:hAnsi="Wingdings" w:hint="default"/>
      </w:rPr>
    </w:lvl>
    <w:lvl w:ilvl="3" w:tplc="90FEED4E" w:tentative="1">
      <w:start w:val="1"/>
      <w:numFmt w:val="bullet"/>
      <w:lvlText w:val=""/>
      <w:lvlJc w:val="left"/>
      <w:pPr>
        <w:ind w:left="2880" w:hanging="360"/>
      </w:pPr>
      <w:rPr>
        <w:rFonts w:ascii="Symbol" w:hAnsi="Symbol" w:hint="default"/>
      </w:rPr>
    </w:lvl>
    <w:lvl w:ilvl="4" w:tplc="5DB2F5FC" w:tentative="1">
      <w:start w:val="1"/>
      <w:numFmt w:val="bullet"/>
      <w:lvlText w:val="o"/>
      <w:lvlJc w:val="left"/>
      <w:pPr>
        <w:ind w:left="3600" w:hanging="360"/>
      </w:pPr>
      <w:rPr>
        <w:rFonts w:ascii="Courier New" w:hAnsi="Courier New" w:cs="Courier New" w:hint="default"/>
      </w:rPr>
    </w:lvl>
    <w:lvl w:ilvl="5" w:tplc="7252471E" w:tentative="1">
      <w:start w:val="1"/>
      <w:numFmt w:val="bullet"/>
      <w:lvlText w:val=""/>
      <w:lvlJc w:val="left"/>
      <w:pPr>
        <w:ind w:left="4320" w:hanging="360"/>
      </w:pPr>
      <w:rPr>
        <w:rFonts w:ascii="Wingdings" w:hAnsi="Wingdings" w:hint="default"/>
      </w:rPr>
    </w:lvl>
    <w:lvl w:ilvl="6" w:tplc="AD9838E6" w:tentative="1">
      <w:start w:val="1"/>
      <w:numFmt w:val="bullet"/>
      <w:lvlText w:val=""/>
      <w:lvlJc w:val="left"/>
      <w:pPr>
        <w:ind w:left="5040" w:hanging="360"/>
      </w:pPr>
      <w:rPr>
        <w:rFonts w:ascii="Symbol" w:hAnsi="Symbol" w:hint="default"/>
      </w:rPr>
    </w:lvl>
    <w:lvl w:ilvl="7" w:tplc="5AEED2AA" w:tentative="1">
      <w:start w:val="1"/>
      <w:numFmt w:val="bullet"/>
      <w:lvlText w:val="o"/>
      <w:lvlJc w:val="left"/>
      <w:pPr>
        <w:ind w:left="5760" w:hanging="360"/>
      </w:pPr>
      <w:rPr>
        <w:rFonts w:ascii="Courier New" w:hAnsi="Courier New" w:cs="Courier New" w:hint="default"/>
      </w:rPr>
    </w:lvl>
    <w:lvl w:ilvl="8" w:tplc="5E1E2CC6" w:tentative="1">
      <w:start w:val="1"/>
      <w:numFmt w:val="bullet"/>
      <w:lvlText w:val=""/>
      <w:lvlJc w:val="left"/>
      <w:pPr>
        <w:ind w:left="6480" w:hanging="360"/>
      </w:pPr>
      <w:rPr>
        <w:rFonts w:ascii="Wingdings" w:hAnsi="Wingdings" w:hint="default"/>
      </w:rPr>
    </w:lvl>
  </w:abstractNum>
  <w:abstractNum w:abstractNumId="1" w15:restartNumberingAfterBreak="0">
    <w:nsid w:val="0D1D416F"/>
    <w:multiLevelType w:val="hybridMultilevel"/>
    <w:tmpl w:val="26B4437C"/>
    <w:lvl w:ilvl="0" w:tplc="92CC263A">
      <w:start w:val="1"/>
      <w:numFmt w:val="bullet"/>
      <w:lvlText w:val=""/>
      <w:lvlJc w:val="left"/>
      <w:pPr>
        <w:tabs>
          <w:tab w:val="num" w:pos="720"/>
        </w:tabs>
        <w:ind w:left="720" w:hanging="360"/>
      </w:pPr>
      <w:rPr>
        <w:rFonts w:ascii="Symbol" w:hAnsi="Symbol" w:hint="default"/>
      </w:rPr>
    </w:lvl>
    <w:lvl w:ilvl="1" w:tplc="C3CCDCFA">
      <w:start w:val="1"/>
      <w:numFmt w:val="bullet"/>
      <w:lvlText w:val="o"/>
      <w:lvlJc w:val="left"/>
      <w:pPr>
        <w:ind w:left="1440" w:hanging="360"/>
      </w:pPr>
      <w:rPr>
        <w:rFonts w:ascii="Courier New" w:hAnsi="Courier New" w:cs="Courier New" w:hint="default"/>
      </w:rPr>
    </w:lvl>
    <w:lvl w:ilvl="2" w:tplc="F1EA487A" w:tentative="1">
      <w:start w:val="1"/>
      <w:numFmt w:val="bullet"/>
      <w:lvlText w:val=""/>
      <w:lvlJc w:val="left"/>
      <w:pPr>
        <w:ind w:left="2160" w:hanging="360"/>
      </w:pPr>
      <w:rPr>
        <w:rFonts w:ascii="Wingdings" w:hAnsi="Wingdings" w:hint="default"/>
      </w:rPr>
    </w:lvl>
    <w:lvl w:ilvl="3" w:tplc="EDF8F05C" w:tentative="1">
      <w:start w:val="1"/>
      <w:numFmt w:val="bullet"/>
      <w:lvlText w:val=""/>
      <w:lvlJc w:val="left"/>
      <w:pPr>
        <w:ind w:left="2880" w:hanging="360"/>
      </w:pPr>
      <w:rPr>
        <w:rFonts w:ascii="Symbol" w:hAnsi="Symbol" w:hint="default"/>
      </w:rPr>
    </w:lvl>
    <w:lvl w:ilvl="4" w:tplc="7D8CC9FC" w:tentative="1">
      <w:start w:val="1"/>
      <w:numFmt w:val="bullet"/>
      <w:lvlText w:val="o"/>
      <w:lvlJc w:val="left"/>
      <w:pPr>
        <w:ind w:left="3600" w:hanging="360"/>
      </w:pPr>
      <w:rPr>
        <w:rFonts w:ascii="Courier New" w:hAnsi="Courier New" w:cs="Courier New" w:hint="default"/>
      </w:rPr>
    </w:lvl>
    <w:lvl w:ilvl="5" w:tplc="7310C6B4" w:tentative="1">
      <w:start w:val="1"/>
      <w:numFmt w:val="bullet"/>
      <w:lvlText w:val=""/>
      <w:lvlJc w:val="left"/>
      <w:pPr>
        <w:ind w:left="4320" w:hanging="360"/>
      </w:pPr>
      <w:rPr>
        <w:rFonts w:ascii="Wingdings" w:hAnsi="Wingdings" w:hint="default"/>
      </w:rPr>
    </w:lvl>
    <w:lvl w:ilvl="6" w:tplc="655CDF28" w:tentative="1">
      <w:start w:val="1"/>
      <w:numFmt w:val="bullet"/>
      <w:lvlText w:val=""/>
      <w:lvlJc w:val="left"/>
      <w:pPr>
        <w:ind w:left="5040" w:hanging="360"/>
      </w:pPr>
      <w:rPr>
        <w:rFonts w:ascii="Symbol" w:hAnsi="Symbol" w:hint="default"/>
      </w:rPr>
    </w:lvl>
    <w:lvl w:ilvl="7" w:tplc="AB4E5594" w:tentative="1">
      <w:start w:val="1"/>
      <w:numFmt w:val="bullet"/>
      <w:lvlText w:val="o"/>
      <w:lvlJc w:val="left"/>
      <w:pPr>
        <w:ind w:left="5760" w:hanging="360"/>
      </w:pPr>
      <w:rPr>
        <w:rFonts w:ascii="Courier New" w:hAnsi="Courier New" w:cs="Courier New" w:hint="default"/>
      </w:rPr>
    </w:lvl>
    <w:lvl w:ilvl="8" w:tplc="85FEDB7A" w:tentative="1">
      <w:start w:val="1"/>
      <w:numFmt w:val="bullet"/>
      <w:lvlText w:val=""/>
      <w:lvlJc w:val="left"/>
      <w:pPr>
        <w:ind w:left="6480" w:hanging="360"/>
      </w:pPr>
      <w:rPr>
        <w:rFonts w:ascii="Wingdings" w:hAnsi="Wingdings" w:hint="default"/>
      </w:rPr>
    </w:lvl>
  </w:abstractNum>
  <w:abstractNum w:abstractNumId="2" w15:restartNumberingAfterBreak="0">
    <w:nsid w:val="0EE057FC"/>
    <w:multiLevelType w:val="hybridMultilevel"/>
    <w:tmpl w:val="6ECC1970"/>
    <w:lvl w:ilvl="0" w:tplc="44CA7888">
      <w:start w:val="1"/>
      <w:numFmt w:val="bullet"/>
      <w:lvlText w:val=""/>
      <w:lvlJc w:val="left"/>
      <w:pPr>
        <w:tabs>
          <w:tab w:val="num" w:pos="720"/>
        </w:tabs>
        <w:ind w:left="720" w:hanging="360"/>
      </w:pPr>
      <w:rPr>
        <w:rFonts w:ascii="Symbol" w:hAnsi="Symbol" w:hint="default"/>
      </w:rPr>
    </w:lvl>
    <w:lvl w:ilvl="1" w:tplc="9E720C80">
      <w:start w:val="1"/>
      <w:numFmt w:val="bullet"/>
      <w:lvlText w:val="o"/>
      <w:lvlJc w:val="left"/>
      <w:pPr>
        <w:ind w:left="1440" w:hanging="360"/>
      </w:pPr>
      <w:rPr>
        <w:rFonts w:ascii="Courier New" w:hAnsi="Courier New" w:cs="Courier New" w:hint="default"/>
      </w:rPr>
    </w:lvl>
    <w:lvl w:ilvl="2" w:tplc="F4F62074" w:tentative="1">
      <w:start w:val="1"/>
      <w:numFmt w:val="bullet"/>
      <w:lvlText w:val=""/>
      <w:lvlJc w:val="left"/>
      <w:pPr>
        <w:ind w:left="2160" w:hanging="360"/>
      </w:pPr>
      <w:rPr>
        <w:rFonts w:ascii="Wingdings" w:hAnsi="Wingdings" w:hint="default"/>
      </w:rPr>
    </w:lvl>
    <w:lvl w:ilvl="3" w:tplc="689CBCC4" w:tentative="1">
      <w:start w:val="1"/>
      <w:numFmt w:val="bullet"/>
      <w:lvlText w:val=""/>
      <w:lvlJc w:val="left"/>
      <w:pPr>
        <w:ind w:left="2880" w:hanging="360"/>
      </w:pPr>
      <w:rPr>
        <w:rFonts w:ascii="Symbol" w:hAnsi="Symbol" w:hint="default"/>
      </w:rPr>
    </w:lvl>
    <w:lvl w:ilvl="4" w:tplc="49BE7C24" w:tentative="1">
      <w:start w:val="1"/>
      <w:numFmt w:val="bullet"/>
      <w:lvlText w:val="o"/>
      <w:lvlJc w:val="left"/>
      <w:pPr>
        <w:ind w:left="3600" w:hanging="360"/>
      </w:pPr>
      <w:rPr>
        <w:rFonts w:ascii="Courier New" w:hAnsi="Courier New" w:cs="Courier New" w:hint="default"/>
      </w:rPr>
    </w:lvl>
    <w:lvl w:ilvl="5" w:tplc="FE6E5BD0" w:tentative="1">
      <w:start w:val="1"/>
      <w:numFmt w:val="bullet"/>
      <w:lvlText w:val=""/>
      <w:lvlJc w:val="left"/>
      <w:pPr>
        <w:ind w:left="4320" w:hanging="360"/>
      </w:pPr>
      <w:rPr>
        <w:rFonts w:ascii="Wingdings" w:hAnsi="Wingdings" w:hint="default"/>
      </w:rPr>
    </w:lvl>
    <w:lvl w:ilvl="6" w:tplc="936E61CC" w:tentative="1">
      <w:start w:val="1"/>
      <w:numFmt w:val="bullet"/>
      <w:lvlText w:val=""/>
      <w:lvlJc w:val="left"/>
      <w:pPr>
        <w:ind w:left="5040" w:hanging="360"/>
      </w:pPr>
      <w:rPr>
        <w:rFonts w:ascii="Symbol" w:hAnsi="Symbol" w:hint="default"/>
      </w:rPr>
    </w:lvl>
    <w:lvl w:ilvl="7" w:tplc="426446E8" w:tentative="1">
      <w:start w:val="1"/>
      <w:numFmt w:val="bullet"/>
      <w:lvlText w:val="o"/>
      <w:lvlJc w:val="left"/>
      <w:pPr>
        <w:ind w:left="5760" w:hanging="360"/>
      </w:pPr>
      <w:rPr>
        <w:rFonts w:ascii="Courier New" w:hAnsi="Courier New" w:cs="Courier New" w:hint="default"/>
      </w:rPr>
    </w:lvl>
    <w:lvl w:ilvl="8" w:tplc="B4EEAD7C" w:tentative="1">
      <w:start w:val="1"/>
      <w:numFmt w:val="bullet"/>
      <w:lvlText w:val=""/>
      <w:lvlJc w:val="left"/>
      <w:pPr>
        <w:ind w:left="6480" w:hanging="360"/>
      </w:pPr>
      <w:rPr>
        <w:rFonts w:ascii="Wingdings" w:hAnsi="Wingdings" w:hint="default"/>
      </w:rPr>
    </w:lvl>
  </w:abstractNum>
  <w:abstractNum w:abstractNumId="3" w15:restartNumberingAfterBreak="0">
    <w:nsid w:val="16F73227"/>
    <w:multiLevelType w:val="hybridMultilevel"/>
    <w:tmpl w:val="9BE631A6"/>
    <w:lvl w:ilvl="0" w:tplc="3F96C040">
      <w:start w:val="1"/>
      <w:numFmt w:val="decimal"/>
      <w:lvlText w:val="(%1)"/>
      <w:lvlJc w:val="left"/>
      <w:pPr>
        <w:ind w:left="825" w:hanging="465"/>
      </w:pPr>
      <w:rPr>
        <w:rFonts w:hint="default"/>
      </w:rPr>
    </w:lvl>
    <w:lvl w:ilvl="1" w:tplc="F7BEE16E">
      <w:start w:val="1"/>
      <w:numFmt w:val="upperLetter"/>
      <w:lvlText w:val="(%2)"/>
      <w:lvlJc w:val="left"/>
      <w:pPr>
        <w:ind w:left="1530" w:hanging="450"/>
      </w:pPr>
      <w:rPr>
        <w:rFonts w:hint="default"/>
      </w:rPr>
    </w:lvl>
    <w:lvl w:ilvl="2" w:tplc="E7DEB9CE" w:tentative="1">
      <w:start w:val="1"/>
      <w:numFmt w:val="lowerRoman"/>
      <w:lvlText w:val="%3."/>
      <w:lvlJc w:val="right"/>
      <w:pPr>
        <w:ind w:left="2160" w:hanging="180"/>
      </w:pPr>
    </w:lvl>
    <w:lvl w:ilvl="3" w:tplc="C90682C2" w:tentative="1">
      <w:start w:val="1"/>
      <w:numFmt w:val="decimal"/>
      <w:lvlText w:val="%4."/>
      <w:lvlJc w:val="left"/>
      <w:pPr>
        <w:ind w:left="2880" w:hanging="360"/>
      </w:pPr>
    </w:lvl>
    <w:lvl w:ilvl="4" w:tplc="B4C43BAE" w:tentative="1">
      <w:start w:val="1"/>
      <w:numFmt w:val="lowerLetter"/>
      <w:lvlText w:val="%5."/>
      <w:lvlJc w:val="left"/>
      <w:pPr>
        <w:ind w:left="3600" w:hanging="360"/>
      </w:pPr>
    </w:lvl>
    <w:lvl w:ilvl="5" w:tplc="0AD83C54" w:tentative="1">
      <w:start w:val="1"/>
      <w:numFmt w:val="lowerRoman"/>
      <w:lvlText w:val="%6."/>
      <w:lvlJc w:val="right"/>
      <w:pPr>
        <w:ind w:left="4320" w:hanging="180"/>
      </w:pPr>
    </w:lvl>
    <w:lvl w:ilvl="6" w:tplc="C43E36E0" w:tentative="1">
      <w:start w:val="1"/>
      <w:numFmt w:val="decimal"/>
      <w:lvlText w:val="%7."/>
      <w:lvlJc w:val="left"/>
      <w:pPr>
        <w:ind w:left="5040" w:hanging="360"/>
      </w:pPr>
    </w:lvl>
    <w:lvl w:ilvl="7" w:tplc="B044A466" w:tentative="1">
      <w:start w:val="1"/>
      <w:numFmt w:val="lowerLetter"/>
      <w:lvlText w:val="%8."/>
      <w:lvlJc w:val="left"/>
      <w:pPr>
        <w:ind w:left="5760" w:hanging="360"/>
      </w:pPr>
    </w:lvl>
    <w:lvl w:ilvl="8" w:tplc="5948A7B6" w:tentative="1">
      <w:start w:val="1"/>
      <w:numFmt w:val="lowerRoman"/>
      <w:lvlText w:val="%9."/>
      <w:lvlJc w:val="right"/>
      <w:pPr>
        <w:ind w:left="6480" w:hanging="180"/>
      </w:pPr>
    </w:lvl>
  </w:abstractNum>
  <w:abstractNum w:abstractNumId="4" w15:restartNumberingAfterBreak="0">
    <w:nsid w:val="2BF52226"/>
    <w:multiLevelType w:val="hybridMultilevel"/>
    <w:tmpl w:val="9DAEC5BE"/>
    <w:lvl w:ilvl="0" w:tplc="AE1E41FA">
      <w:start w:val="1"/>
      <w:numFmt w:val="bullet"/>
      <w:lvlText w:val=""/>
      <w:lvlJc w:val="left"/>
      <w:pPr>
        <w:tabs>
          <w:tab w:val="num" w:pos="720"/>
        </w:tabs>
        <w:ind w:left="720" w:hanging="360"/>
      </w:pPr>
      <w:rPr>
        <w:rFonts w:ascii="Symbol" w:hAnsi="Symbol" w:hint="default"/>
      </w:rPr>
    </w:lvl>
    <w:lvl w:ilvl="1" w:tplc="9B8CBB16" w:tentative="1">
      <w:start w:val="1"/>
      <w:numFmt w:val="bullet"/>
      <w:lvlText w:val="o"/>
      <w:lvlJc w:val="left"/>
      <w:pPr>
        <w:ind w:left="1440" w:hanging="360"/>
      </w:pPr>
      <w:rPr>
        <w:rFonts w:ascii="Courier New" w:hAnsi="Courier New" w:cs="Courier New" w:hint="default"/>
      </w:rPr>
    </w:lvl>
    <w:lvl w:ilvl="2" w:tplc="CDD0497A" w:tentative="1">
      <w:start w:val="1"/>
      <w:numFmt w:val="bullet"/>
      <w:lvlText w:val=""/>
      <w:lvlJc w:val="left"/>
      <w:pPr>
        <w:ind w:left="2160" w:hanging="360"/>
      </w:pPr>
      <w:rPr>
        <w:rFonts w:ascii="Wingdings" w:hAnsi="Wingdings" w:hint="default"/>
      </w:rPr>
    </w:lvl>
    <w:lvl w:ilvl="3" w:tplc="47224556" w:tentative="1">
      <w:start w:val="1"/>
      <w:numFmt w:val="bullet"/>
      <w:lvlText w:val=""/>
      <w:lvlJc w:val="left"/>
      <w:pPr>
        <w:ind w:left="2880" w:hanging="360"/>
      </w:pPr>
      <w:rPr>
        <w:rFonts w:ascii="Symbol" w:hAnsi="Symbol" w:hint="default"/>
      </w:rPr>
    </w:lvl>
    <w:lvl w:ilvl="4" w:tplc="7AD6CAAA" w:tentative="1">
      <w:start w:val="1"/>
      <w:numFmt w:val="bullet"/>
      <w:lvlText w:val="o"/>
      <w:lvlJc w:val="left"/>
      <w:pPr>
        <w:ind w:left="3600" w:hanging="360"/>
      </w:pPr>
      <w:rPr>
        <w:rFonts w:ascii="Courier New" w:hAnsi="Courier New" w:cs="Courier New" w:hint="default"/>
      </w:rPr>
    </w:lvl>
    <w:lvl w:ilvl="5" w:tplc="5B7E5D78" w:tentative="1">
      <w:start w:val="1"/>
      <w:numFmt w:val="bullet"/>
      <w:lvlText w:val=""/>
      <w:lvlJc w:val="left"/>
      <w:pPr>
        <w:ind w:left="4320" w:hanging="360"/>
      </w:pPr>
      <w:rPr>
        <w:rFonts w:ascii="Wingdings" w:hAnsi="Wingdings" w:hint="default"/>
      </w:rPr>
    </w:lvl>
    <w:lvl w:ilvl="6" w:tplc="47B43DA2" w:tentative="1">
      <w:start w:val="1"/>
      <w:numFmt w:val="bullet"/>
      <w:lvlText w:val=""/>
      <w:lvlJc w:val="left"/>
      <w:pPr>
        <w:ind w:left="5040" w:hanging="360"/>
      </w:pPr>
      <w:rPr>
        <w:rFonts w:ascii="Symbol" w:hAnsi="Symbol" w:hint="default"/>
      </w:rPr>
    </w:lvl>
    <w:lvl w:ilvl="7" w:tplc="E684D572" w:tentative="1">
      <w:start w:val="1"/>
      <w:numFmt w:val="bullet"/>
      <w:lvlText w:val="o"/>
      <w:lvlJc w:val="left"/>
      <w:pPr>
        <w:ind w:left="5760" w:hanging="360"/>
      </w:pPr>
      <w:rPr>
        <w:rFonts w:ascii="Courier New" w:hAnsi="Courier New" w:cs="Courier New" w:hint="default"/>
      </w:rPr>
    </w:lvl>
    <w:lvl w:ilvl="8" w:tplc="F646943E" w:tentative="1">
      <w:start w:val="1"/>
      <w:numFmt w:val="bullet"/>
      <w:lvlText w:val=""/>
      <w:lvlJc w:val="left"/>
      <w:pPr>
        <w:ind w:left="6480" w:hanging="360"/>
      </w:pPr>
      <w:rPr>
        <w:rFonts w:ascii="Wingdings" w:hAnsi="Wingdings" w:hint="default"/>
      </w:rPr>
    </w:lvl>
  </w:abstractNum>
  <w:abstractNum w:abstractNumId="5" w15:restartNumberingAfterBreak="0">
    <w:nsid w:val="38CD579E"/>
    <w:multiLevelType w:val="hybridMultilevel"/>
    <w:tmpl w:val="2A5698CA"/>
    <w:lvl w:ilvl="0" w:tplc="8E387BB0">
      <w:start w:val="1"/>
      <w:numFmt w:val="decimal"/>
      <w:lvlText w:val="(%1)"/>
      <w:lvlJc w:val="left"/>
      <w:pPr>
        <w:ind w:left="758" w:hanging="398"/>
      </w:pPr>
      <w:rPr>
        <w:rFonts w:hint="default"/>
      </w:rPr>
    </w:lvl>
    <w:lvl w:ilvl="1" w:tplc="8F507358" w:tentative="1">
      <w:start w:val="1"/>
      <w:numFmt w:val="lowerLetter"/>
      <w:lvlText w:val="%2."/>
      <w:lvlJc w:val="left"/>
      <w:pPr>
        <w:ind w:left="1440" w:hanging="360"/>
      </w:pPr>
    </w:lvl>
    <w:lvl w:ilvl="2" w:tplc="809ED69E" w:tentative="1">
      <w:start w:val="1"/>
      <w:numFmt w:val="lowerRoman"/>
      <w:lvlText w:val="%3."/>
      <w:lvlJc w:val="right"/>
      <w:pPr>
        <w:ind w:left="2160" w:hanging="180"/>
      </w:pPr>
    </w:lvl>
    <w:lvl w:ilvl="3" w:tplc="FFCCE412" w:tentative="1">
      <w:start w:val="1"/>
      <w:numFmt w:val="decimal"/>
      <w:lvlText w:val="%4."/>
      <w:lvlJc w:val="left"/>
      <w:pPr>
        <w:ind w:left="2880" w:hanging="360"/>
      </w:pPr>
    </w:lvl>
    <w:lvl w:ilvl="4" w:tplc="4CEEA098" w:tentative="1">
      <w:start w:val="1"/>
      <w:numFmt w:val="lowerLetter"/>
      <w:lvlText w:val="%5."/>
      <w:lvlJc w:val="left"/>
      <w:pPr>
        <w:ind w:left="3600" w:hanging="360"/>
      </w:pPr>
    </w:lvl>
    <w:lvl w:ilvl="5" w:tplc="752A301C" w:tentative="1">
      <w:start w:val="1"/>
      <w:numFmt w:val="lowerRoman"/>
      <w:lvlText w:val="%6."/>
      <w:lvlJc w:val="right"/>
      <w:pPr>
        <w:ind w:left="4320" w:hanging="180"/>
      </w:pPr>
    </w:lvl>
    <w:lvl w:ilvl="6" w:tplc="F4726676" w:tentative="1">
      <w:start w:val="1"/>
      <w:numFmt w:val="decimal"/>
      <w:lvlText w:val="%7."/>
      <w:lvlJc w:val="left"/>
      <w:pPr>
        <w:ind w:left="5040" w:hanging="360"/>
      </w:pPr>
    </w:lvl>
    <w:lvl w:ilvl="7" w:tplc="22C2F002" w:tentative="1">
      <w:start w:val="1"/>
      <w:numFmt w:val="lowerLetter"/>
      <w:lvlText w:val="%8."/>
      <w:lvlJc w:val="left"/>
      <w:pPr>
        <w:ind w:left="5760" w:hanging="360"/>
      </w:pPr>
    </w:lvl>
    <w:lvl w:ilvl="8" w:tplc="0F7AF654" w:tentative="1">
      <w:start w:val="1"/>
      <w:numFmt w:val="lowerRoman"/>
      <w:lvlText w:val="%9."/>
      <w:lvlJc w:val="right"/>
      <w:pPr>
        <w:ind w:left="6480" w:hanging="180"/>
      </w:pPr>
    </w:lvl>
  </w:abstractNum>
  <w:abstractNum w:abstractNumId="6" w15:restartNumberingAfterBreak="0">
    <w:nsid w:val="44AE0E85"/>
    <w:multiLevelType w:val="hybridMultilevel"/>
    <w:tmpl w:val="4B9C2FA0"/>
    <w:lvl w:ilvl="0" w:tplc="0978995A">
      <w:start w:val="1"/>
      <w:numFmt w:val="bullet"/>
      <w:lvlText w:val=""/>
      <w:lvlJc w:val="left"/>
      <w:pPr>
        <w:tabs>
          <w:tab w:val="num" w:pos="720"/>
        </w:tabs>
        <w:ind w:left="720" w:hanging="360"/>
      </w:pPr>
      <w:rPr>
        <w:rFonts w:ascii="Symbol" w:hAnsi="Symbol" w:hint="default"/>
      </w:rPr>
    </w:lvl>
    <w:lvl w:ilvl="1" w:tplc="BB7AB9C6" w:tentative="1">
      <w:start w:val="1"/>
      <w:numFmt w:val="bullet"/>
      <w:lvlText w:val="o"/>
      <w:lvlJc w:val="left"/>
      <w:pPr>
        <w:ind w:left="1440" w:hanging="360"/>
      </w:pPr>
      <w:rPr>
        <w:rFonts w:ascii="Courier New" w:hAnsi="Courier New" w:cs="Courier New" w:hint="default"/>
      </w:rPr>
    </w:lvl>
    <w:lvl w:ilvl="2" w:tplc="73ACF3A6" w:tentative="1">
      <w:start w:val="1"/>
      <w:numFmt w:val="bullet"/>
      <w:lvlText w:val=""/>
      <w:lvlJc w:val="left"/>
      <w:pPr>
        <w:ind w:left="2160" w:hanging="360"/>
      </w:pPr>
      <w:rPr>
        <w:rFonts w:ascii="Wingdings" w:hAnsi="Wingdings" w:hint="default"/>
      </w:rPr>
    </w:lvl>
    <w:lvl w:ilvl="3" w:tplc="D4A0AF90" w:tentative="1">
      <w:start w:val="1"/>
      <w:numFmt w:val="bullet"/>
      <w:lvlText w:val=""/>
      <w:lvlJc w:val="left"/>
      <w:pPr>
        <w:ind w:left="2880" w:hanging="360"/>
      </w:pPr>
      <w:rPr>
        <w:rFonts w:ascii="Symbol" w:hAnsi="Symbol" w:hint="default"/>
      </w:rPr>
    </w:lvl>
    <w:lvl w:ilvl="4" w:tplc="98E40AFE" w:tentative="1">
      <w:start w:val="1"/>
      <w:numFmt w:val="bullet"/>
      <w:lvlText w:val="o"/>
      <w:lvlJc w:val="left"/>
      <w:pPr>
        <w:ind w:left="3600" w:hanging="360"/>
      </w:pPr>
      <w:rPr>
        <w:rFonts w:ascii="Courier New" w:hAnsi="Courier New" w:cs="Courier New" w:hint="default"/>
      </w:rPr>
    </w:lvl>
    <w:lvl w:ilvl="5" w:tplc="F5623660" w:tentative="1">
      <w:start w:val="1"/>
      <w:numFmt w:val="bullet"/>
      <w:lvlText w:val=""/>
      <w:lvlJc w:val="left"/>
      <w:pPr>
        <w:ind w:left="4320" w:hanging="360"/>
      </w:pPr>
      <w:rPr>
        <w:rFonts w:ascii="Wingdings" w:hAnsi="Wingdings" w:hint="default"/>
      </w:rPr>
    </w:lvl>
    <w:lvl w:ilvl="6" w:tplc="7D0A8548" w:tentative="1">
      <w:start w:val="1"/>
      <w:numFmt w:val="bullet"/>
      <w:lvlText w:val=""/>
      <w:lvlJc w:val="left"/>
      <w:pPr>
        <w:ind w:left="5040" w:hanging="360"/>
      </w:pPr>
      <w:rPr>
        <w:rFonts w:ascii="Symbol" w:hAnsi="Symbol" w:hint="default"/>
      </w:rPr>
    </w:lvl>
    <w:lvl w:ilvl="7" w:tplc="A41A1F86" w:tentative="1">
      <w:start w:val="1"/>
      <w:numFmt w:val="bullet"/>
      <w:lvlText w:val="o"/>
      <w:lvlJc w:val="left"/>
      <w:pPr>
        <w:ind w:left="5760" w:hanging="360"/>
      </w:pPr>
      <w:rPr>
        <w:rFonts w:ascii="Courier New" w:hAnsi="Courier New" w:cs="Courier New" w:hint="default"/>
      </w:rPr>
    </w:lvl>
    <w:lvl w:ilvl="8" w:tplc="D2047A5E" w:tentative="1">
      <w:start w:val="1"/>
      <w:numFmt w:val="bullet"/>
      <w:lvlText w:val=""/>
      <w:lvlJc w:val="left"/>
      <w:pPr>
        <w:ind w:left="6480" w:hanging="360"/>
      </w:pPr>
      <w:rPr>
        <w:rFonts w:ascii="Wingdings" w:hAnsi="Wingdings" w:hint="default"/>
      </w:rPr>
    </w:lvl>
  </w:abstractNum>
  <w:abstractNum w:abstractNumId="7" w15:restartNumberingAfterBreak="0">
    <w:nsid w:val="4A643050"/>
    <w:multiLevelType w:val="hybridMultilevel"/>
    <w:tmpl w:val="59A8E178"/>
    <w:lvl w:ilvl="0" w:tplc="0CA8CB76">
      <w:start w:val="1"/>
      <w:numFmt w:val="bullet"/>
      <w:lvlText w:val=""/>
      <w:lvlJc w:val="left"/>
      <w:pPr>
        <w:tabs>
          <w:tab w:val="num" w:pos="720"/>
        </w:tabs>
        <w:ind w:left="720" w:hanging="360"/>
      </w:pPr>
      <w:rPr>
        <w:rFonts w:ascii="Symbol" w:hAnsi="Symbol" w:hint="default"/>
      </w:rPr>
    </w:lvl>
    <w:lvl w:ilvl="1" w:tplc="20D4EC50">
      <w:start w:val="1"/>
      <w:numFmt w:val="bullet"/>
      <w:lvlText w:val="o"/>
      <w:lvlJc w:val="left"/>
      <w:pPr>
        <w:ind w:left="1440" w:hanging="360"/>
      </w:pPr>
      <w:rPr>
        <w:rFonts w:ascii="Courier New" w:hAnsi="Courier New" w:cs="Courier New" w:hint="default"/>
      </w:rPr>
    </w:lvl>
    <w:lvl w:ilvl="2" w:tplc="36720584" w:tentative="1">
      <w:start w:val="1"/>
      <w:numFmt w:val="bullet"/>
      <w:lvlText w:val=""/>
      <w:lvlJc w:val="left"/>
      <w:pPr>
        <w:ind w:left="2160" w:hanging="360"/>
      </w:pPr>
      <w:rPr>
        <w:rFonts w:ascii="Wingdings" w:hAnsi="Wingdings" w:hint="default"/>
      </w:rPr>
    </w:lvl>
    <w:lvl w:ilvl="3" w:tplc="08BEC4FC" w:tentative="1">
      <w:start w:val="1"/>
      <w:numFmt w:val="bullet"/>
      <w:lvlText w:val=""/>
      <w:lvlJc w:val="left"/>
      <w:pPr>
        <w:ind w:left="2880" w:hanging="360"/>
      </w:pPr>
      <w:rPr>
        <w:rFonts w:ascii="Symbol" w:hAnsi="Symbol" w:hint="default"/>
      </w:rPr>
    </w:lvl>
    <w:lvl w:ilvl="4" w:tplc="B094AD38" w:tentative="1">
      <w:start w:val="1"/>
      <w:numFmt w:val="bullet"/>
      <w:lvlText w:val="o"/>
      <w:lvlJc w:val="left"/>
      <w:pPr>
        <w:ind w:left="3600" w:hanging="360"/>
      </w:pPr>
      <w:rPr>
        <w:rFonts w:ascii="Courier New" w:hAnsi="Courier New" w:cs="Courier New" w:hint="default"/>
      </w:rPr>
    </w:lvl>
    <w:lvl w:ilvl="5" w:tplc="E96A13F6" w:tentative="1">
      <w:start w:val="1"/>
      <w:numFmt w:val="bullet"/>
      <w:lvlText w:val=""/>
      <w:lvlJc w:val="left"/>
      <w:pPr>
        <w:ind w:left="4320" w:hanging="360"/>
      </w:pPr>
      <w:rPr>
        <w:rFonts w:ascii="Wingdings" w:hAnsi="Wingdings" w:hint="default"/>
      </w:rPr>
    </w:lvl>
    <w:lvl w:ilvl="6" w:tplc="2BA6C532" w:tentative="1">
      <w:start w:val="1"/>
      <w:numFmt w:val="bullet"/>
      <w:lvlText w:val=""/>
      <w:lvlJc w:val="left"/>
      <w:pPr>
        <w:ind w:left="5040" w:hanging="360"/>
      </w:pPr>
      <w:rPr>
        <w:rFonts w:ascii="Symbol" w:hAnsi="Symbol" w:hint="default"/>
      </w:rPr>
    </w:lvl>
    <w:lvl w:ilvl="7" w:tplc="9AF657D2" w:tentative="1">
      <w:start w:val="1"/>
      <w:numFmt w:val="bullet"/>
      <w:lvlText w:val="o"/>
      <w:lvlJc w:val="left"/>
      <w:pPr>
        <w:ind w:left="5760" w:hanging="360"/>
      </w:pPr>
      <w:rPr>
        <w:rFonts w:ascii="Courier New" w:hAnsi="Courier New" w:cs="Courier New" w:hint="default"/>
      </w:rPr>
    </w:lvl>
    <w:lvl w:ilvl="8" w:tplc="9B4A099A" w:tentative="1">
      <w:start w:val="1"/>
      <w:numFmt w:val="bullet"/>
      <w:lvlText w:val=""/>
      <w:lvlJc w:val="left"/>
      <w:pPr>
        <w:ind w:left="6480" w:hanging="360"/>
      </w:pPr>
      <w:rPr>
        <w:rFonts w:ascii="Wingdings" w:hAnsi="Wingdings" w:hint="default"/>
      </w:rPr>
    </w:lvl>
  </w:abstractNum>
  <w:abstractNum w:abstractNumId="8" w15:restartNumberingAfterBreak="0">
    <w:nsid w:val="59C10C7E"/>
    <w:multiLevelType w:val="hybridMultilevel"/>
    <w:tmpl w:val="7A242AAA"/>
    <w:lvl w:ilvl="0" w:tplc="21C03D4E">
      <w:start w:val="1"/>
      <w:numFmt w:val="decimal"/>
      <w:lvlText w:val="(%1)"/>
      <w:lvlJc w:val="left"/>
      <w:pPr>
        <w:ind w:left="840" w:hanging="480"/>
      </w:pPr>
      <w:rPr>
        <w:rFonts w:hint="default"/>
      </w:rPr>
    </w:lvl>
    <w:lvl w:ilvl="1" w:tplc="520C14D6" w:tentative="1">
      <w:start w:val="1"/>
      <w:numFmt w:val="lowerLetter"/>
      <w:lvlText w:val="%2."/>
      <w:lvlJc w:val="left"/>
      <w:pPr>
        <w:ind w:left="1440" w:hanging="360"/>
      </w:pPr>
    </w:lvl>
    <w:lvl w:ilvl="2" w:tplc="C7301E7E" w:tentative="1">
      <w:start w:val="1"/>
      <w:numFmt w:val="lowerRoman"/>
      <w:lvlText w:val="%3."/>
      <w:lvlJc w:val="right"/>
      <w:pPr>
        <w:ind w:left="2160" w:hanging="180"/>
      </w:pPr>
    </w:lvl>
    <w:lvl w:ilvl="3" w:tplc="42D67C02" w:tentative="1">
      <w:start w:val="1"/>
      <w:numFmt w:val="decimal"/>
      <w:lvlText w:val="%4."/>
      <w:lvlJc w:val="left"/>
      <w:pPr>
        <w:ind w:left="2880" w:hanging="360"/>
      </w:pPr>
    </w:lvl>
    <w:lvl w:ilvl="4" w:tplc="E0D00D1C" w:tentative="1">
      <w:start w:val="1"/>
      <w:numFmt w:val="lowerLetter"/>
      <w:lvlText w:val="%5."/>
      <w:lvlJc w:val="left"/>
      <w:pPr>
        <w:ind w:left="3600" w:hanging="360"/>
      </w:pPr>
    </w:lvl>
    <w:lvl w:ilvl="5" w:tplc="304C23AC" w:tentative="1">
      <w:start w:val="1"/>
      <w:numFmt w:val="lowerRoman"/>
      <w:lvlText w:val="%6."/>
      <w:lvlJc w:val="right"/>
      <w:pPr>
        <w:ind w:left="4320" w:hanging="180"/>
      </w:pPr>
    </w:lvl>
    <w:lvl w:ilvl="6" w:tplc="D55253B2" w:tentative="1">
      <w:start w:val="1"/>
      <w:numFmt w:val="decimal"/>
      <w:lvlText w:val="%7."/>
      <w:lvlJc w:val="left"/>
      <w:pPr>
        <w:ind w:left="5040" w:hanging="360"/>
      </w:pPr>
    </w:lvl>
    <w:lvl w:ilvl="7" w:tplc="2AF2CE72" w:tentative="1">
      <w:start w:val="1"/>
      <w:numFmt w:val="lowerLetter"/>
      <w:lvlText w:val="%8."/>
      <w:lvlJc w:val="left"/>
      <w:pPr>
        <w:ind w:left="5760" w:hanging="360"/>
      </w:pPr>
    </w:lvl>
    <w:lvl w:ilvl="8" w:tplc="66427A0C" w:tentative="1">
      <w:start w:val="1"/>
      <w:numFmt w:val="lowerRoman"/>
      <w:lvlText w:val="%9."/>
      <w:lvlJc w:val="right"/>
      <w:pPr>
        <w:ind w:left="6480" w:hanging="180"/>
      </w:pPr>
    </w:lvl>
  </w:abstractNum>
  <w:abstractNum w:abstractNumId="9" w15:restartNumberingAfterBreak="0">
    <w:nsid w:val="5A6F2539"/>
    <w:multiLevelType w:val="hybridMultilevel"/>
    <w:tmpl w:val="4DDEB052"/>
    <w:lvl w:ilvl="0" w:tplc="4CFCF5C6">
      <w:start w:val="1"/>
      <w:numFmt w:val="bullet"/>
      <w:lvlText w:val=""/>
      <w:lvlJc w:val="left"/>
      <w:pPr>
        <w:tabs>
          <w:tab w:val="num" w:pos="720"/>
        </w:tabs>
        <w:ind w:left="720" w:hanging="360"/>
      </w:pPr>
      <w:rPr>
        <w:rFonts w:ascii="Symbol" w:hAnsi="Symbol" w:hint="default"/>
      </w:rPr>
    </w:lvl>
    <w:lvl w:ilvl="1" w:tplc="4308E808">
      <w:start w:val="1"/>
      <w:numFmt w:val="bullet"/>
      <w:lvlText w:val="o"/>
      <w:lvlJc w:val="left"/>
      <w:pPr>
        <w:ind w:left="1440" w:hanging="360"/>
      </w:pPr>
      <w:rPr>
        <w:rFonts w:ascii="Courier New" w:hAnsi="Courier New" w:cs="Courier New" w:hint="default"/>
      </w:rPr>
    </w:lvl>
    <w:lvl w:ilvl="2" w:tplc="021AD6AA" w:tentative="1">
      <w:start w:val="1"/>
      <w:numFmt w:val="bullet"/>
      <w:lvlText w:val=""/>
      <w:lvlJc w:val="left"/>
      <w:pPr>
        <w:ind w:left="2160" w:hanging="360"/>
      </w:pPr>
      <w:rPr>
        <w:rFonts w:ascii="Wingdings" w:hAnsi="Wingdings" w:hint="default"/>
      </w:rPr>
    </w:lvl>
    <w:lvl w:ilvl="3" w:tplc="B182600A" w:tentative="1">
      <w:start w:val="1"/>
      <w:numFmt w:val="bullet"/>
      <w:lvlText w:val=""/>
      <w:lvlJc w:val="left"/>
      <w:pPr>
        <w:ind w:left="2880" w:hanging="360"/>
      </w:pPr>
      <w:rPr>
        <w:rFonts w:ascii="Symbol" w:hAnsi="Symbol" w:hint="default"/>
      </w:rPr>
    </w:lvl>
    <w:lvl w:ilvl="4" w:tplc="CAC688C8" w:tentative="1">
      <w:start w:val="1"/>
      <w:numFmt w:val="bullet"/>
      <w:lvlText w:val="o"/>
      <w:lvlJc w:val="left"/>
      <w:pPr>
        <w:ind w:left="3600" w:hanging="360"/>
      </w:pPr>
      <w:rPr>
        <w:rFonts w:ascii="Courier New" w:hAnsi="Courier New" w:cs="Courier New" w:hint="default"/>
      </w:rPr>
    </w:lvl>
    <w:lvl w:ilvl="5" w:tplc="02DACEE0" w:tentative="1">
      <w:start w:val="1"/>
      <w:numFmt w:val="bullet"/>
      <w:lvlText w:val=""/>
      <w:lvlJc w:val="left"/>
      <w:pPr>
        <w:ind w:left="4320" w:hanging="360"/>
      </w:pPr>
      <w:rPr>
        <w:rFonts w:ascii="Wingdings" w:hAnsi="Wingdings" w:hint="default"/>
      </w:rPr>
    </w:lvl>
    <w:lvl w:ilvl="6" w:tplc="0D34C000" w:tentative="1">
      <w:start w:val="1"/>
      <w:numFmt w:val="bullet"/>
      <w:lvlText w:val=""/>
      <w:lvlJc w:val="left"/>
      <w:pPr>
        <w:ind w:left="5040" w:hanging="360"/>
      </w:pPr>
      <w:rPr>
        <w:rFonts w:ascii="Symbol" w:hAnsi="Symbol" w:hint="default"/>
      </w:rPr>
    </w:lvl>
    <w:lvl w:ilvl="7" w:tplc="77A0BA86" w:tentative="1">
      <w:start w:val="1"/>
      <w:numFmt w:val="bullet"/>
      <w:lvlText w:val="o"/>
      <w:lvlJc w:val="left"/>
      <w:pPr>
        <w:ind w:left="5760" w:hanging="360"/>
      </w:pPr>
      <w:rPr>
        <w:rFonts w:ascii="Courier New" w:hAnsi="Courier New" w:cs="Courier New" w:hint="default"/>
      </w:rPr>
    </w:lvl>
    <w:lvl w:ilvl="8" w:tplc="40B6004C" w:tentative="1">
      <w:start w:val="1"/>
      <w:numFmt w:val="bullet"/>
      <w:lvlText w:val=""/>
      <w:lvlJc w:val="left"/>
      <w:pPr>
        <w:ind w:left="6480" w:hanging="360"/>
      </w:pPr>
      <w:rPr>
        <w:rFonts w:ascii="Wingdings" w:hAnsi="Wingdings" w:hint="default"/>
      </w:rPr>
    </w:lvl>
  </w:abstractNum>
  <w:abstractNum w:abstractNumId="10" w15:restartNumberingAfterBreak="0">
    <w:nsid w:val="618167CE"/>
    <w:multiLevelType w:val="hybridMultilevel"/>
    <w:tmpl w:val="7B1A2692"/>
    <w:lvl w:ilvl="0" w:tplc="F522E16E">
      <w:start w:val="1"/>
      <w:numFmt w:val="decimal"/>
      <w:lvlText w:val="(%1)"/>
      <w:lvlJc w:val="left"/>
      <w:pPr>
        <w:ind w:left="825" w:hanging="465"/>
      </w:pPr>
      <w:rPr>
        <w:rFonts w:hint="default"/>
      </w:rPr>
    </w:lvl>
    <w:lvl w:ilvl="1" w:tplc="E2BCCC10" w:tentative="1">
      <w:start w:val="1"/>
      <w:numFmt w:val="lowerLetter"/>
      <w:lvlText w:val="%2."/>
      <w:lvlJc w:val="left"/>
      <w:pPr>
        <w:ind w:left="1440" w:hanging="360"/>
      </w:pPr>
    </w:lvl>
    <w:lvl w:ilvl="2" w:tplc="29CA7996" w:tentative="1">
      <w:start w:val="1"/>
      <w:numFmt w:val="lowerRoman"/>
      <w:lvlText w:val="%3."/>
      <w:lvlJc w:val="right"/>
      <w:pPr>
        <w:ind w:left="2160" w:hanging="180"/>
      </w:pPr>
    </w:lvl>
    <w:lvl w:ilvl="3" w:tplc="DA8E09B6" w:tentative="1">
      <w:start w:val="1"/>
      <w:numFmt w:val="decimal"/>
      <w:lvlText w:val="%4."/>
      <w:lvlJc w:val="left"/>
      <w:pPr>
        <w:ind w:left="2880" w:hanging="360"/>
      </w:pPr>
    </w:lvl>
    <w:lvl w:ilvl="4" w:tplc="EC980F22" w:tentative="1">
      <w:start w:val="1"/>
      <w:numFmt w:val="lowerLetter"/>
      <w:lvlText w:val="%5."/>
      <w:lvlJc w:val="left"/>
      <w:pPr>
        <w:ind w:left="3600" w:hanging="360"/>
      </w:pPr>
    </w:lvl>
    <w:lvl w:ilvl="5" w:tplc="0AD4B0B2" w:tentative="1">
      <w:start w:val="1"/>
      <w:numFmt w:val="lowerRoman"/>
      <w:lvlText w:val="%6."/>
      <w:lvlJc w:val="right"/>
      <w:pPr>
        <w:ind w:left="4320" w:hanging="180"/>
      </w:pPr>
    </w:lvl>
    <w:lvl w:ilvl="6" w:tplc="2906240C" w:tentative="1">
      <w:start w:val="1"/>
      <w:numFmt w:val="decimal"/>
      <w:lvlText w:val="%7."/>
      <w:lvlJc w:val="left"/>
      <w:pPr>
        <w:ind w:left="5040" w:hanging="360"/>
      </w:pPr>
    </w:lvl>
    <w:lvl w:ilvl="7" w:tplc="32929B60" w:tentative="1">
      <w:start w:val="1"/>
      <w:numFmt w:val="lowerLetter"/>
      <w:lvlText w:val="%8."/>
      <w:lvlJc w:val="left"/>
      <w:pPr>
        <w:ind w:left="5760" w:hanging="360"/>
      </w:pPr>
    </w:lvl>
    <w:lvl w:ilvl="8" w:tplc="575A731E" w:tentative="1">
      <w:start w:val="1"/>
      <w:numFmt w:val="lowerRoman"/>
      <w:lvlText w:val="%9."/>
      <w:lvlJc w:val="right"/>
      <w:pPr>
        <w:ind w:left="6480" w:hanging="180"/>
      </w:pPr>
    </w:lvl>
  </w:abstractNum>
  <w:abstractNum w:abstractNumId="11" w15:restartNumberingAfterBreak="0">
    <w:nsid w:val="64415984"/>
    <w:multiLevelType w:val="hybridMultilevel"/>
    <w:tmpl w:val="C63EDB88"/>
    <w:lvl w:ilvl="0" w:tplc="42320346">
      <w:start w:val="1"/>
      <w:numFmt w:val="bullet"/>
      <w:lvlText w:val=""/>
      <w:lvlJc w:val="left"/>
      <w:pPr>
        <w:tabs>
          <w:tab w:val="num" w:pos="720"/>
        </w:tabs>
        <w:ind w:left="720" w:hanging="360"/>
      </w:pPr>
      <w:rPr>
        <w:rFonts w:ascii="Symbol" w:hAnsi="Symbol" w:hint="default"/>
      </w:rPr>
    </w:lvl>
    <w:lvl w:ilvl="1" w:tplc="0D083058" w:tentative="1">
      <w:start w:val="1"/>
      <w:numFmt w:val="bullet"/>
      <w:lvlText w:val="o"/>
      <w:lvlJc w:val="left"/>
      <w:pPr>
        <w:ind w:left="1440" w:hanging="360"/>
      </w:pPr>
      <w:rPr>
        <w:rFonts w:ascii="Courier New" w:hAnsi="Courier New" w:cs="Courier New" w:hint="default"/>
      </w:rPr>
    </w:lvl>
    <w:lvl w:ilvl="2" w:tplc="F25078EA" w:tentative="1">
      <w:start w:val="1"/>
      <w:numFmt w:val="bullet"/>
      <w:lvlText w:val=""/>
      <w:lvlJc w:val="left"/>
      <w:pPr>
        <w:ind w:left="2160" w:hanging="360"/>
      </w:pPr>
      <w:rPr>
        <w:rFonts w:ascii="Wingdings" w:hAnsi="Wingdings" w:hint="default"/>
      </w:rPr>
    </w:lvl>
    <w:lvl w:ilvl="3" w:tplc="15781C28" w:tentative="1">
      <w:start w:val="1"/>
      <w:numFmt w:val="bullet"/>
      <w:lvlText w:val=""/>
      <w:lvlJc w:val="left"/>
      <w:pPr>
        <w:ind w:left="2880" w:hanging="360"/>
      </w:pPr>
      <w:rPr>
        <w:rFonts w:ascii="Symbol" w:hAnsi="Symbol" w:hint="default"/>
      </w:rPr>
    </w:lvl>
    <w:lvl w:ilvl="4" w:tplc="99024C6E" w:tentative="1">
      <w:start w:val="1"/>
      <w:numFmt w:val="bullet"/>
      <w:lvlText w:val="o"/>
      <w:lvlJc w:val="left"/>
      <w:pPr>
        <w:ind w:left="3600" w:hanging="360"/>
      </w:pPr>
      <w:rPr>
        <w:rFonts w:ascii="Courier New" w:hAnsi="Courier New" w:cs="Courier New" w:hint="default"/>
      </w:rPr>
    </w:lvl>
    <w:lvl w:ilvl="5" w:tplc="7FB8383A" w:tentative="1">
      <w:start w:val="1"/>
      <w:numFmt w:val="bullet"/>
      <w:lvlText w:val=""/>
      <w:lvlJc w:val="left"/>
      <w:pPr>
        <w:ind w:left="4320" w:hanging="360"/>
      </w:pPr>
      <w:rPr>
        <w:rFonts w:ascii="Wingdings" w:hAnsi="Wingdings" w:hint="default"/>
      </w:rPr>
    </w:lvl>
    <w:lvl w:ilvl="6" w:tplc="50182AAE" w:tentative="1">
      <w:start w:val="1"/>
      <w:numFmt w:val="bullet"/>
      <w:lvlText w:val=""/>
      <w:lvlJc w:val="left"/>
      <w:pPr>
        <w:ind w:left="5040" w:hanging="360"/>
      </w:pPr>
      <w:rPr>
        <w:rFonts w:ascii="Symbol" w:hAnsi="Symbol" w:hint="default"/>
      </w:rPr>
    </w:lvl>
    <w:lvl w:ilvl="7" w:tplc="D062FD72" w:tentative="1">
      <w:start w:val="1"/>
      <w:numFmt w:val="bullet"/>
      <w:lvlText w:val="o"/>
      <w:lvlJc w:val="left"/>
      <w:pPr>
        <w:ind w:left="5760" w:hanging="360"/>
      </w:pPr>
      <w:rPr>
        <w:rFonts w:ascii="Courier New" w:hAnsi="Courier New" w:cs="Courier New" w:hint="default"/>
      </w:rPr>
    </w:lvl>
    <w:lvl w:ilvl="8" w:tplc="9710CB7A" w:tentative="1">
      <w:start w:val="1"/>
      <w:numFmt w:val="bullet"/>
      <w:lvlText w:val=""/>
      <w:lvlJc w:val="left"/>
      <w:pPr>
        <w:ind w:left="6480" w:hanging="360"/>
      </w:pPr>
      <w:rPr>
        <w:rFonts w:ascii="Wingdings" w:hAnsi="Wingdings" w:hint="default"/>
      </w:rPr>
    </w:lvl>
  </w:abstractNum>
  <w:abstractNum w:abstractNumId="12" w15:restartNumberingAfterBreak="0">
    <w:nsid w:val="69E951BB"/>
    <w:multiLevelType w:val="hybridMultilevel"/>
    <w:tmpl w:val="6CA21CD6"/>
    <w:lvl w:ilvl="0" w:tplc="D81E9268">
      <w:start w:val="1"/>
      <w:numFmt w:val="bullet"/>
      <w:lvlText w:val=""/>
      <w:lvlJc w:val="left"/>
      <w:pPr>
        <w:tabs>
          <w:tab w:val="num" w:pos="720"/>
        </w:tabs>
        <w:ind w:left="720" w:hanging="360"/>
      </w:pPr>
      <w:rPr>
        <w:rFonts w:ascii="Symbol" w:hAnsi="Symbol" w:hint="default"/>
      </w:rPr>
    </w:lvl>
    <w:lvl w:ilvl="1" w:tplc="15AE2E22">
      <w:start w:val="1"/>
      <w:numFmt w:val="bullet"/>
      <w:lvlText w:val="o"/>
      <w:lvlJc w:val="left"/>
      <w:pPr>
        <w:ind w:left="1440" w:hanging="360"/>
      </w:pPr>
      <w:rPr>
        <w:rFonts w:ascii="Courier New" w:hAnsi="Courier New" w:cs="Courier New" w:hint="default"/>
      </w:rPr>
    </w:lvl>
    <w:lvl w:ilvl="2" w:tplc="3334C6F4" w:tentative="1">
      <w:start w:val="1"/>
      <w:numFmt w:val="bullet"/>
      <w:lvlText w:val=""/>
      <w:lvlJc w:val="left"/>
      <w:pPr>
        <w:ind w:left="2160" w:hanging="360"/>
      </w:pPr>
      <w:rPr>
        <w:rFonts w:ascii="Wingdings" w:hAnsi="Wingdings" w:hint="default"/>
      </w:rPr>
    </w:lvl>
    <w:lvl w:ilvl="3" w:tplc="2EC220DA" w:tentative="1">
      <w:start w:val="1"/>
      <w:numFmt w:val="bullet"/>
      <w:lvlText w:val=""/>
      <w:lvlJc w:val="left"/>
      <w:pPr>
        <w:ind w:left="2880" w:hanging="360"/>
      </w:pPr>
      <w:rPr>
        <w:rFonts w:ascii="Symbol" w:hAnsi="Symbol" w:hint="default"/>
      </w:rPr>
    </w:lvl>
    <w:lvl w:ilvl="4" w:tplc="BA9802F6" w:tentative="1">
      <w:start w:val="1"/>
      <w:numFmt w:val="bullet"/>
      <w:lvlText w:val="o"/>
      <w:lvlJc w:val="left"/>
      <w:pPr>
        <w:ind w:left="3600" w:hanging="360"/>
      </w:pPr>
      <w:rPr>
        <w:rFonts w:ascii="Courier New" w:hAnsi="Courier New" w:cs="Courier New" w:hint="default"/>
      </w:rPr>
    </w:lvl>
    <w:lvl w:ilvl="5" w:tplc="0BBEF37E" w:tentative="1">
      <w:start w:val="1"/>
      <w:numFmt w:val="bullet"/>
      <w:lvlText w:val=""/>
      <w:lvlJc w:val="left"/>
      <w:pPr>
        <w:ind w:left="4320" w:hanging="360"/>
      </w:pPr>
      <w:rPr>
        <w:rFonts w:ascii="Wingdings" w:hAnsi="Wingdings" w:hint="default"/>
      </w:rPr>
    </w:lvl>
    <w:lvl w:ilvl="6" w:tplc="B69C1094" w:tentative="1">
      <w:start w:val="1"/>
      <w:numFmt w:val="bullet"/>
      <w:lvlText w:val=""/>
      <w:lvlJc w:val="left"/>
      <w:pPr>
        <w:ind w:left="5040" w:hanging="360"/>
      </w:pPr>
      <w:rPr>
        <w:rFonts w:ascii="Symbol" w:hAnsi="Symbol" w:hint="default"/>
      </w:rPr>
    </w:lvl>
    <w:lvl w:ilvl="7" w:tplc="5A7CCF78" w:tentative="1">
      <w:start w:val="1"/>
      <w:numFmt w:val="bullet"/>
      <w:lvlText w:val="o"/>
      <w:lvlJc w:val="left"/>
      <w:pPr>
        <w:ind w:left="5760" w:hanging="360"/>
      </w:pPr>
      <w:rPr>
        <w:rFonts w:ascii="Courier New" w:hAnsi="Courier New" w:cs="Courier New" w:hint="default"/>
      </w:rPr>
    </w:lvl>
    <w:lvl w:ilvl="8" w:tplc="C7BE3930" w:tentative="1">
      <w:start w:val="1"/>
      <w:numFmt w:val="bullet"/>
      <w:lvlText w:val=""/>
      <w:lvlJc w:val="left"/>
      <w:pPr>
        <w:ind w:left="6480" w:hanging="360"/>
      </w:pPr>
      <w:rPr>
        <w:rFonts w:ascii="Wingdings" w:hAnsi="Wingdings" w:hint="default"/>
      </w:rPr>
    </w:lvl>
  </w:abstractNum>
  <w:num w:numId="1" w16cid:durableId="492792435">
    <w:abstractNumId w:val="2"/>
  </w:num>
  <w:num w:numId="2" w16cid:durableId="1360160943">
    <w:abstractNumId w:val="5"/>
  </w:num>
  <w:num w:numId="3" w16cid:durableId="653921586">
    <w:abstractNumId w:val="9"/>
  </w:num>
  <w:num w:numId="4" w16cid:durableId="1163467987">
    <w:abstractNumId w:val="10"/>
  </w:num>
  <w:num w:numId="5" w16cid:durableId="49772196">
    <w:abstractNumId w:val="0"/>
  </w:num>
  <w:num w:numId="6" w16cid:durableId="1258251577">
    <w:abstractNumId w:val="8"/>
  </w:num>
  <w:num w:numId="7" w16cid:durableId="1818909807">
    <w:abstractNumId w:val="12"/>
  </w:num>
  <w:num w:numId="8" w16cid:durableId="1757314510">
    <w:abstractNumId w:val="3"/>
  </w:num>
  <w:num w:numId="9" w16cid:durableId="1668708685">
    <w:abstractNumId w:val="7"/>
  </w:num>
  <w:num w:numId="10" w16cid:durableId="1674994723">
    <w:abstractNumId w:val="4"/>
  </w:num>
  <w:num w:numId="11" w16cid:durableId="1723478281">
    <w:abstractNumId w:val="11"/>
  </w:num>
  <w:num w:numId="12" w16cid:durableId="1012535619">
    <w:abstractNumId w:val="6"/>
  </w:num>
  <w:num w:numId="13" w16cid:durableId="482700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6F8"/>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0FB"/>
    <w:rsid w:val="0002413D"/>
    <w:rsid w:val="000249F2"/>
    <w:rsid w:val="00027E81"/>
    <w:rsid w:val="00030344"/>
    <w:rsid w:val="00030A6F"/>
    <w:rsid w:val="00030AD8"/>
    <w:rsid w:val="0003107A"/>
    <w:rsid w:val="00031C95"/>
    <w:rsid w:val="000330D4"/>
    <w:rsid w:val="0003572D"/>
    <w:rsid w:val="00035DB0"/>
    <w:rsid w:val="00037088"/>
    <w:rsid w:val="000400D5"/>
    <w:rsid w:val="00043B84"/>
    <w:rsid w:val="0004512B"/>
    <w:rsid w:val="000463F0"/>
    <w:rsid w:val="00046BDA"/>
    <w:rsid w:val="00046C2D"/>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87ECB"/>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66F8"/>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0EFB"/>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4C1C"/>
    <w:rsid w:val="001664C2"/>
    <w:rsid w:val="00171BF2"/>
    <w:rsid w:val="0017347B"/>
    <w:rsid w:val="00173A92"/>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4159"/>
    <w:rsid w:val="001B75B8"/>
    <w:rsid w:val="001C1230"/>
    <w:rsid w:val="001C49C7"/>
    <w:rsid w:val="001C60B5"/>
    <w:rsid w:val="001C61B0"/>
    <w:rsid w:val="001C7957"/>
    <w:rsid w:val="001C7DB8"/>
    <w:rsid w:val="001C7EA8"/>
    <w:rsid w:val="001D1711"/>
    <w:rsid w:val="001D2A01"/>
    <w:rsid w:val="001D2EF6"/>
    <w:rsid w:val="001D37A8"/>
    <w:rsid w:val="001D462E"/>
    <w:rsid w:val="001D74EB"/>
    <w:rsid w:val="001E2CAD"/>
    <w:rsid w:val="001E34DB"/>
    <w:rsid w:val="001E3576"/>
    <w:rsid w:val="001E37CD"/>
    <w:rsid w:val="001E4070"/>
    <w:rsid w:val="001E655E"/>
    <w:rsid w:val="001F3CB8"/>
    <w:rsid w:val="001F6B91"/>
    <w:rsid w:val="001F703C"/>
    <w:rsid w:val="00200B9E"/>
    <w:rsid w:val="00200BF5"/>
    <w:rsid w:val="002010D1"/>
    <w:rsid w:val="00201338"/>
    <w:rsid w:val="00203670"/>
    <w:rsid w:val="002070CD"/>
    <w:rsid w:val="0020775D"/>
    <w:rsid w:val="002116DD"/>
    <w:rsid w:val="0021383D"/>
    <w:rsid w:val="00216BBA"/>
    <w:rsid w:val="00216E12"/>
    <w:rsid w:val="00217466"/>
    <w:rsid w:val="0021751D"/>
    <w:rsid w:val="00217C49"/>
    <w:rsid w:val="0022177D"/>
    <w:rsid w:val="002242DA"/>
    <w:rsid w:val="00224C37"/>
    <w:rsid w:val="002304DF"/>
    <w:rsid w:val="00230C91"/>
    <w:rsid w:val="00232A02"/>
    <w:rsid w:val="0023341D"/>
    <w:rsid w:val="002338DA"/>
    <w:rsid w:val="00233D66"/>
    <w:rsid w:val="00233FDB"/>
    <w:rsid w:val="00234F58"/>
    <w:rsid w:val="0023507D"/>
    <w:rsid w:val="0024077A"/>
    <w:rsid w:val="00241EC1"/>
    <w:rsid w:val="00243040"/>
    <w:rsid w:val="002431DA"/>
    <w:rsid w:val="00244A51"/>
    <w:rsid w:val="0024691D"/>
    <w:rsid w:val="00247D27"/>
    <w:rsid w:val="00250A50"/>
    <w:rsid w:val="00251ED5"/>
    <w:rsid w:val="00255EB6"/>
    <w:rsid w:val="00257429"/>
    <w:rsid w:val="00260FA4"/>
    <w:rsid w:val="00261183"/>
    <w:rsid w:val="00262A3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2729"/>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4B8F"/>
    <w:rsid w:val="002E7DF9"/>
    <w:rsid w:val="002F097B"/>
    <w:rsid w:val="002F157D"/>
    <w:rsid w:val="002F2147"/>
    <w:rsid w:val="002F3111"/>
    <w:rsid w:val="002F4AEC"/>
    <w:rsid w:val="002F795D"/>
    <w:rsid w:val="00300823"/>
    <w:rsid w:val="00300D7F"/>
    <w:rsid w:val="00301638"/>
    <w:rsid w:val="00303B0C"/>
    <w:rsid w:val="0030459C"/>
    <w:rsid w:val="00307081"/>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BB1"/>
    <w:rsid w:val="00336C7A"/>
    <w:rsid w:val="00337392"/>
    <w:rsid w:val="00337659"/>
    <w:rsid w:val="00341D94"/>
    <w:rsid w:val="003425B5"/>
    <w:rsid w:val="003427C9"/>
    <w:rsid w:val="00343A92"/>
    <w:rsid w:val="00344530"/>
    <w:rsid w:val="003446DC"/>
    <w:rsid w:val="00347B4A"/>
    <w:rsid w:val="003500C3"/>
    <w:rsid w:val="003523BD"/>
    <w:rsid w:val="00352681"/>
    <w:rsid w:val="003536AA"/>
    <w:rsid w:val="003544CE"/>
    <w:rsid w:val="00355A98"/>
    <w:rsid w:val="00355D7E"/>
    <w:rsid w:val="003568DE"/>
    <w:rsid w:val="00357053"/>
    <w:rsid w:val="00357CA1"/>
    <w:rsid w:val="00361865"/>
    <w:rsid w:val="00361FE9"/>
    <w:rsid w:val="003624F2"/>
    <w:rsid w:val="00363854"/>
    <w:rsid w:val="00364315"/>
    <w:rsid w:val="003643E2"/>
    <w:rsid w:val="0036674E"/>
    <w:rsid w:val="00370155"/>
    <w:rsid w:val="003711B1"/>
    <w:rsid w:val="003712D5"/>
    <w:rsid w:val="003747DF"/>
    <w:rsid w:val="00377E3D"/>
    <w:rsid w:val="00381BB6"/>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029A"/>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63366"/>
    <w:rsid w:val="00474927"/>
    <w:rsid w:val="00475913"/>
    <w:rsid w:val="00480080"/>
    <w:rsid w:val="004824A7"/>
    <w:rsid w:val="00483AF0"/>
    <w:rsid w:val="00484167"/>
    <w:rsid w:val="004853BF"/>
    <w:rsid w:val="00492211"/>
    <w:rsid w:val="00492325"/>
    <w:rsid w:val="00492A6D"/>
    <w:rsid w:val="00494303"/>
    <w:rsid w:val="0049682B"/>
    <w:rsid w:val="00497231"/>
    <w:rsid w:val="004977A3"/>
    <w:rsid w:val="004A00F7"/>
    <w:rsid w:val="004A03F7"/>
    <w:rsid w:val="004A081C"/>
    <w:rsid w:val="004A123F"/>
    <w:rsid w:val="004A2172"/>
    <w:rsid w:val="004A239F"/>
    <w:rsid w:val="004A7AB8"/>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55C3"/>
    <w:rsid w:val="004D6497"/>
    <w:rsid w:val="004E0E60"/>
    <w:rsid w:val="004E122C"/>
    <w:rsid w:val="004E12A3"/>
    <w:rsid w:val="004E1C77"/>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1C3F"/>
    <w:rsid w:val="0051324D"/>
    <w:rsid w:val="00515466"/>
    <w:rsid w:val="005154F7"/>
    <w:rsid w:val="005159DE"/>
    <w:rsid w:val="00524B43"/>
    <w:rsid w:val="005269CE"/>
    <w:rsid w:val="005304B2"/>
    <w:rsid w:val="005336BD"/>
    <w:rsid w:val="00534A49"/>
    <w:rsid w:val="005363BB"/>
    <w:rsid w:val="005401F4"/>
    <w:rsid w:val="00541B98"/>
    <w:rsid w:val="00543374"/>
    <w:rsid w:val="00545548"/>
    <w:rsid w:val="00546923"/>
    <w:rsid w:val="00551CA6"/>
    <w:rsid w:val="00555034"/>
    <w:rsid w:val="005570D2"/>
    <w:rsid w:val="00561528"/>
    <w:rsid w:val="0056153F"/>
    <w:rsid w:val="00561B14"/>
    <w:rsid w:val="00562C87"/>
    <w:rsid w:val="005636BD"/>
    <w:rsid w:val="005666D5"/>
    <w:rsid w:val="00566806"/>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41AE"/>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6D4"/>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076D"/>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4D38"/>
    <w:rsid w:val="006B54C5"/>
    <w:rsid w:val="006B5E80"/>
    <w:rsid w:val="006B7A2E"/>
    <w:rsid w:val="006C4709"/>
    <w:rsid w:val="006D3005"/>
    <w:rsid w:val="006D504F"/>
    <w:rsid w:val="006D6169"/>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332"/>
    <w:rsid w:val="007365A5"/>
    <w:rsid w:val="00736FB0"/>
    <w:rsid w:val="007404BC"/>
    <w:rsid w:val="00740D13"/>
    <w:rsid w:val="00740F5F"/>
    <w:rsid w:val="00742794"/>
    <w:rsid w:val="00743C4C"/>
    <w:rsid w:val="007445B7"/>
    <w:rsid w:val="00744920"/>
    <w:rsid w:val="00747AAE"/>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11C"/>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86869"/>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18F5"/>
    <w:rsid w:val="008D27A5"/>
    <w:rsid w:val="008D2AAB"/>
    <w:rsid w:val="008D309C"/>
    <w:rsid w:val="008D58F9"/>
    <w:rsid w:val="008D7427"/>
    <w:rsid w:val="008E3338"/>
    <w:rsid w:val="008E3FF0"/>
    <w:rsid w:val="008E47BE"/>
    <w:rsid w:val="008F09DF"/>
    <w:rsid w:val="008F0CCD"/>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095"/>
    <w:rsid w:val="00920711"/>
    <w:rsid w:val="00921A1E"/>
    <w:rsid w:val="00924EA9"/>
    <w:rsid w:val="00925CE1"/>
    <w:rsid w:val="00925F5C"/>
    <w:rsid w:val="00930897"/>
    <w:rsid w:val="009320D2"/>
    <w:rsid w:val="009329FB"/>
    <w:rsid w:val="00932C77"/>
    <w:rsid w:val="0093417F"/>
    <w:rsid w:val="00934AC2"/>
    <w:rsid w:val="009375BB"/>
    <w:rsid w:val="009418E9"/>
    <w:rsid w:val="0094572E"/>
    <w:rsid w:val="00945CFD"/>
    <w:rsid w:val="00946044"/>
    <w:rsid w:val="0094653B"/>
    <w:rsid w:val="009465AB"/>
    <w:rsid w:val="00946DEE"/>
    <w:rsid w:val="00947A33"/>
    <w:rsid w:val="009518FE"/>
    <w:rsid w:val="00953499"/>
    <w:rsid w:val="00954A16"/>
    <w:rsid w:val="0095583E"/>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1A1D"/>
    <w:rsid w:val="009B26AB"/>
    <w:rsid w:val="009B3476"/>
    <w:rsid w:val="009B39BC"/>
    <w:rsid w:val="009B5069"/>
    <w:rsid w:val="009B5CF9"/>
    <w:rsid w:val="009B69AD"/>
    <w:rsid w:val="009B7806"/>
    <w:rsid w:val="009C05C1"/>
    <w:rsid w:val="009C1E9A"/>
    <w:rsid w:val="009C2A33"/>
    <w:rsid w:val="009C2E49"/>
    <w:rsid w:val="009C36CD"/>
    <w:rsid w:val="009C43A5"/>
    <w:rsid w:val="009C4C71"/>
    <w:rsid w:val="009C5A1D"/>
    <w:rsid w:val="009C6B08"/>
    <w:rsid w:val="009C70FC"/>
    <w:rsid w:val="009D002B"/>
    <w:rsid w:val="009D2E78"/>
    <w:rsid w:val="009D37C7"/>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6079"/>
    <w:rsid w:val="00A07689"/>
    <w:rsid w:val="00A07906"/>
    <w:rsid w:val="00A10908"/>
    <w:rsid w:val="00A11E2B"/>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720DE"/>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1D63"/>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B27"/>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369C7"/>
    <w:rsid w:val="00B43672"/>
    <w:rsid w:val="00B473D8"/>
    <w:rsid w:val="00B47464"/>
    <w:rsid w:val="00B5165A"/>
    <w:rsid w:val="00B524C1"/>
    <w:rsid w:val="00B52C8D"/>
    <w:rsid w:val="00B564BF"/>
    <w:rsid w:val="00B6104E"/>
    <w:rsid w:val="00B610C7"/>
    <w:rsid w:val="00B612A2"/>
    <w:rsid w:val="00B62106"/>
    <w:rsid w:val="00B626A8"/>
    <w:rsid w:val="00B65695"/>
    <w:rsid w:val="00B66526"/>
    <w:rsid w:val="00B665A3"/>
    <w:rsid w:val="00B73BB4"/>
    <w:rsid w:val="00B741FD"/>
    <w:rsid w:val="00B7607E"/>
    <w:rsid w:val="00B8023B"/>
    <w:rsid w:val="00B80532"/>
    <w:rsid w:val="00B82039"/>
    <w:rsid w:val="00B82454"/>
    <w:rsid w:val="00B90097"/>
    <w:rsid w:val="00B90999"/>
    <w:rsid w:val="00B90CD7"/>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6EE"/>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59BD"/>
    <w:rsid w:val="00C2766F"/>
    <w:rsid w:val="00C3223B"/>
    <w:rsid w:val="00C333C6"/>
    <w:rsid w:val="00C35418"/>
    <w:rsid w:val="00C35CC5"/>
    <w:rsid w:val="00C361C5"/>
    <w:rsid w:val="00C377D1"/>
    <w:rsid w:val="00C37BDA"/>
    <w:rsid w:val="00C37C84"/>
    <w:rsid w:val="00C42B41"/>
    <w:rsid w:val="00C46166"/>
    <w:rsid w:val="00C4632F"/>
    <w:rsid w:val="00C4710D"/>
    <w:rsid w:val="00C50CAD"/>
    <w:rsid w:val="00C546CE"/>
    <w:rsid w:val="00C56B1E"/>
    <w:rsid w:val="00C57933"/>
    <w:rsid w:val="00C60206"/>
    <w:rsid w:val="00C615D4"/>
    <w:rsid w:val="00C61B5D"/>
    <w:rsid w:val="00C61C0E"/>
    <w:rsid w:val="00C61C64"/>
    <w:rsid w:val="00C61CDA"/>
    <w:rsid w:val="00C72956"/>
    <w:rsid w:val="00C73045"/>
    <w:rsid w:val="00C73212"/>
    <w:rsid w:val="00C732F5"/>
    <w:rsid w:val="00C7354A"/>
    <w:rsid w:val="00C74379"/>
    <w:rsid w:val="00C74DD8"/>
    <w:rsid w:val="00C75C5E"/>
    <w:rsid w:val="00C7669F"/>
    <w:rsid w:val="00C76DFF"/>
    <w:rsid w:val="00C80B8F"/>
    <w:rsid w:val="00C82743"/>
    <w:rsid w:val="00C834CE"/>
    <w:rsid w:val="00C9047F"/>
    <w:rsid w:val="00C90CCA"/>
    <w:rsid w:val="00C91F65"/>
    <w:rsid w:val="00C92310"/>
    <w:rsid w:val="00C95150"/>
    <w:rsid w:val="00C95A73"/>
    <w:rsid w:val="00CA02B0"/>
    <w:rsid w:val="00CA032E"/>
    <w:rsid w:val="00CA2182"/>
    <w:rsid w:val="00CA2186"/>
    <w:rsid w:val="00CA26EF"/>
    <w:rsid w:val="00CA3608"/>
    <w:rsid w:val="00CA4CA0"/>
    <w:rsid w:val="00CA5E5E"/>
    <w:rsid w:val="00CA7617"/>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E520F"/>
    <w:rsid w:val="00CF4827"/>
    <w:rsid w:val="00CF4C69"/>
    <w:rsid w:val="00CF581C"/>
    <w:rsid w:val="00CF71E0"/>
    <w:rsid w:val="00D001B1"/>
    <w:rsid w:val="00D03176"/>
    <w:rsid w:val="00D060A8"/>
    <w:rsid w:val="00D06605"/>
    <w:rsid w:val="00D0720F"/>
    <w:rsid w:val="00D074E2"/>
    <w:rsid w:val="00D11B0B"/>
    <w:rsid w:val="00D12A3E"/>
    <w:rsid w:val="00D15770"/>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011"/>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11E0"/>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4753A"/>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B57BF"/>
    <w:rsid w:val="00EC02A2"/>
    <w:rsid w:val="00EC379B"/>
    <w:rsid w:val="00EC37DF"/>
    <w:rsid w:val="00EC3A99"/>
    <w:rsid w:val="00EC41B1"/>
    <w:rsid w:val="00ED0665"/>
    <w:rsid w:val="00ED12C0"/>
    <w:rsid w:val="00ED19F0"/>
    <w:rsid w:val="00ED2B50"/>
    <w:rsid w:val="00ED3A32"/>
    <w:rsid w:val="00ED3BDE"/>
    <w:rsid w:val="00ED68FB"/>
    <w:rsid w:val="00ED783A"/>
    <w:rsid w:val="00EE2830"/>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17AC4"/>
    <w:rsid w:val="00F20E5F"/>
    <w:rsid w:val="00F22CF4"/>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F8D"/>
    <w:rsid w:val="00F84153"/>
    <w:rsid w:val="00F85661"/>
    <w:rsid w:val="00F93001"/>
    <w:rsid w:val="00F94ED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5B3CC2-D24A-46AF-9D1C-70A3D9D37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0D66F8"/>
    <w:rPr>
      <w:sz w:val="16"/>
      <w:szCs w:val="16"/>
    </w:rPr>
  </w:style>
  <w:style w:type="paragraph" w:styleId="CommentText">
    <w:name w:val="annotation text"/>
    <w:basedOn w:val="Normal"/>
    <w:link w:val="CommentTextChar"/>
    <w:unhideWhenUsed/>
    <w:rsid w:val="000D66F8"/>
    <w:rPr>
      <w:sz w:val="20"/>
      <w:szCs w:val="20"/>
    </w:rPr>
  </w:style>
  <w:style w:type="character" w:customStyle="1" w:styleId="CommentTextChar">
    <w:name w:val="Comment Text Char"/>
    <w:basedOn w:val="DefaultParagraphFont"/>
    <w:link w:val="CommentText"/>
    <w:rsid w:val="000D66F8"/>
  </w:style>
  <w:style w:type="paragraph" w:styleId="CommentSubject">
    <w:name w:val="annotation subject"/>
    <w:basedOn w:val="CommentText"/>
    <w:next w:val="CommentText"/>
    <w:link w:val="CommentSubjectChar"/>
    <w:semiHidden/>
    <w:unhideWhenUsed/>
    <w:rsid w:val="000D66F8"/>
    <w:rPr>
      <w:b/>
      <w:bCs/>
    </w:rPr>
  </w:style>
  <w:style w:type="character" w:customStyle="1" w:styleId="CommentSubjectChar">
    <w:name w:val="Comment Subject Char"/>
    <w:basedOn w:val="CommentTextChar"/>
    <w:link w:val="CommentSubject"/>
    <w:semiHidden/>
    <w:rsid w:val="000D66F8"/>
    <w:rPr>
      <w:b/>
      <w:bCs/>
    </w:rPr>
  </w:style>
  <w:style w:type="paragraph" w:styleId="Revision">
    <w:name w:val="Revision"/>
    <w:hidden/>
    <w:uiPriority w:val="99"/>
    <w:semiHidden/>
    <w:rsid w:val="00C732F5"/>
    <w:rPr>
      <w:sz w:val="24"/>
      <w:szCs w:val="24"/>
    </w:rPr>
  </w:style>
  <w:style w:type="character" w:styleId="Hyperlink">
    <w:name w:val="Hyperlink"/>
    <w:basedOn w:val="DefaultParagraphFont"/>
    <w:unhideWhenUsed/>
    <w:rsid w:val="009C4C71"/>
    <w:rPr>
      <w:color w:val="0000FF" w:themeColor="hyperlink"/>
      <w:u w:val="single"/>
    </w:rPr>
  </w:style>
  <w:style w:type="character" w:customStyle="1" w:styleId="UnresolvedMention1">
    <w:name w:val="Unresolved Mention1"/>
    <w:basedOn w:val="DefaultParagraphFont"/>
    <w:uiPriority w:val="99"/>
    <w:semiHidden/>
    <w:unhideWhenUsed/>
    <w:rsid w:val="009C4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1662</Words>
  <Characters>9364</Characters>
  <Application>Microsoft Office Word</Application>
  <DocSecurity>0</DocSecurity>
  <Lines>185</Lines>
  <Paragraphs>75</Paragraphs>
  <ScaleCrop>false</ScaleCrop>
  <HeadingPairs>
    <vt:vector size="2" baseType="variant">
      <vt:variant>
        <vt:lpstr>Title</vt:lpstr>
      </vt:variant>
      <vt:variant>
        <vt:i4>1</vt:i4>
      </vt:variant>
    </vt:vector>
  </HeadingPairs>
  <TitlesOfParts>
    <vt:vector size="1" baseType="lpstr">
      <vt:lpstr>BA - SB02337 (Committee Report (Unamended))</vt:lpstr>
    </vt:vector>
  </TitlesOfParts>
  <Company>State of Texas</Company>
  <LinksUpToDate>false</LinksUpToDate>
  <CharactersWithSpaces>10992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32099</dc:subject>
  <dc:creator>State of Texas</dc:creator>
  <dc:description>SB 2337 by Hughes-(H)Trade, Workforce &amp; Economic Development</dc:description>
  <cp:lastModifiedBy>Damian Duarte</cp:lastModifiedBy>
  <cp:revision>2</cp:revision>
  <cp:lastPrinted>2003-11-26T17:21:00Z</cp:lastPrinted>
  <dcterms:created xsi:type="dcterms:W3CDTF">2025-05-20T22:44:00Z</dcterms:created>
  <dcterms:modified xsi:type="dcterms:W3CDTF">2025-05-20T22:44:00Z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25.140.1138</vt:lpwstr>
  </property>
</Properties>
</file>