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DA53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DA53CD"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DA53CD"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7A46B0">
                  <w:rPr>
                    <w:rFonts w:cs="Times New Roman"/>
                    <w:szCs w:val="24"/>
                  </w:rPr>
                  <w:t>S.B. 2337</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howingPlcHdr/>
          </w:sdtPr>
          <w:sdtEndPr/>
          <w:sdtContent>
            <w:tc>
              <w:tcPr>
                <w:tcW w:w="2718" w:type="dxa"/>
              </w:tcPr>
              <w:p w:rsidR="00C43D01" w:rsidRPr="000F1DF9" w:rsidRDefault="00C43D01" w:rsidP="00C65088">
                <w:pPr>
                  <w:rPr>
                    <w:rFonts w:cs="Times New Roman"/>
                    <w:szCs w:val="24"/>
                  </w:rPr>
                </w:pPr>
              </w:p>
            </w:tc>
          </w:sdtContent>
        </w:sdt>
        <w:tc>
          <w:tcPr>
            <w:tcW w:w="6858" w:type="dxa"/>
          </w:tcPr>
          <w:p w:rsidR="00C43D01" w:rsidRPr="005C2A78" w:rsidRDefault="00DA53CD"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7A46B0">
                  <w:rPr>
                    <w:rFonts w:cs="Times New Roman"/>
                    <w:szCs w:val="24"/>
                  </w:rPr>
                  <w:t>Hughes</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7A46B0" w:rsidP="000F1DF9">
                <w:pPr>
                  <w:jc w:val="right"/>
                  <w:rPr>
                    <w:rFonts w:cs="Times New Roman"/>
                    <w:szCs w:val="24"/>
                  </w:rPr>
                </w:pPr>
                <w:r>
                  <w:rPr>
                    <w:rFonts w:cs="Times New Roman"/>
                    <w:szCs w:val="24"/>
                  </w:rPr>
                  <w:t>State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22T00:00:00Z">
              <w:dateFormat w:val="M/d/yyyy"/>
              <w:lid w:val="en-US"/>
              <w:storeMappedDataAs w:val="dateTime"/>
              <w:calendar w:val="gregorian"/>
            </w:date>
          </w:sdtPr>
          <w:sdtEndPr/>
          <w:sdtContent>
            <w:tc>
              <w:tcPr>
                <w:tcW w:w="6858" w:type="dxa"/>
              </w:tcPr>
              <w:p w:rsidR="00C43D01" w:rsidRPr="00FF6471" w:rsidRDefault="007A46B0" w:rsidP="000F1DF9">
                <w:pPr>
                  <w:jc w:val="right"/>
                  <w:rPr>
                    <w:rFonts w:cs="Times New Roman"/>
                    <w:szCs w:val="24"/>
                  </w:rPr>
                </w:pPr>
                <w:r>
                  <w:rPr>
                    <w:rFonts w:cs="Times New Roman"/>
                    <w:szCs w:val="24"/>
                  </w:rPr>
                  <w:t>4/22/2025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7A46B0"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7A46B0" w:rsidRDefault="007A46B0" w:rsidP="007A46B0">
          <w:pPr>
            <w:pStyle w:val="NormalWeb"/>
            <w:spacing w:before="0" w:beforeAutospacing="0" w:after="0" w:afterAutospacing="0"/>
            <w:jc w:val="both"/>
            <w:divId w:val="1942375459"/>
            <w:rPr>
              <w:rFonts w:eastAsia="Times New Roman"/>
              <w:bCs/>
            </w:rPr>
          </w:pPr>
        </w:p>
        <w:p w:rsidR="007A46B0" w:rsidRPr="007A46B0" w:rsidRDefault="007A46B0" w:rsidP="007A46B0">
          <w:pPr>
            <w:pStyle w:val="NormalWeb"/>
            <w:spacing w:before="0" w:beforeAutospacing="0" w:after="0" w:afterAutospacing="0"/>
            <w:jc w:val="both"/>
            <w:divId w:val="1942375459"/>
          </w:pPr>
          <w:r w:rsidRPr="007A46B0">
            <w:t>Proxy advisory firms are hired primarily by institutional investors to conduct research about corporate issuers and to make proxy voting recommendations. They do not themselves owe fiduciary duties to shareholders, but they assist institutional investors (who do owe such fiduciary duties) in making voting decisions on the shareholders</w:t>
          </w:r>
          <w:r>
            <w:t>'</w:t>
          </w:r>
          <w:r w:rsidRPr="007A46B0">
            <w:t xml:space="preserve"> behalf and provide services to facilitate the voting process. The two largest proxy advisory firms hold a dominant market share of approximately 97</w:t>
          </w:r>
          <w:r>
            <w:t xml:space="preserve"> percent</w:t>
          </w:r>
          <w:r w:rsidRPr="007A46B0">
            <w:t xml:space="preserve"> and are owned by foreign (German and Canadian) entities.</w:t>
          </w:r>
        </w:p>
        <w:p w:rsidR="007A46B0" w:rsidRPr="007A46B0" w:rsidRDefault="007A46B0" w:rsidP="007A46B0">
          <w:pPr>
            <w:pStyle w:val="NormalWeb"/>
            <w:spacing w:before="0" w:beforeAutospacing="0" w:after="0" w:afterAutospacing="0"/>
            <w:jc w:val="both"/>
            <w:divId w:val="1942375459"/>
          </w:pPr>
          <w:r w:rsidRPr="007A46B0">
            <w:t> </w:t>
          </w:r>
        </w:p>
        <w:p w:rsidR="007A46B0" w:rsidRPr="007A46B0" w:rsidRDefault="007A46B0" w:rsidP="007A46B0">
          <w:pPr>
            <w:pStyle w:val="NormalWeb"/>
            <w:spacing w:before="0" w:beforeAutospacing="0" w:after="0" w:afterAutospacing="0"/>
            <w:jc w:val="both"/>
            <w:divId w:val="1942375459"/>
          </w:pPr>
          <w:r w:rsidRPr="007A46B0">
            <w:t xml:space="preserve">Proxy advisory firms (1) provide voting recommendations and other services that often prioritize non-financial factors, such as ESG or DEI-based standards and (2) provide irreconcilably conflicting recommendations (e.g., </w:t>
          </w:r>
          <w:r>
            <w:t>"</w:t>
          </w:r>
          <w:r w:rsidRPr="007A46B0">
            <w:t>yes</w:t>
          </w:r>
          <w:r>
            <w:t>"</w:t>
          </w:r>
          <w:r w:rsidRPr="007A46B0">
            <w:t xml:space="preserve"> and </w:t>
          </w:r>
          <w:r>
            <w:t>"</w:t>
          </w:r>
          <w:r w:rsidRPr="007A46B0">
            <w:t>no</w:t>
          </w:r>
          <w:r>
            <w:t>"</w:t>
          </w:r>
          <w:r w:rsidRPr="007A46B0">
            <w:t>) to different clients on the same company or shareholder proposals, both of which necessarily cannot be in the financial interest of the shareholders. The firms justify these practices on the basis that they do not owe fiduciary duties to the shareholders, while ignoring the reality that their clients do (and that they, in turn, owe fiduciary duties to such clients who rely on them).</w:t>
          </w:r>
        </w:p>
        <w:p w:rsidR="007A46B0" w:rsidRPr="007A46B0" w:rsidRDefault="007A46B0" w:rsidP="007A46B0">
          <w:pPr>
            <w:pStyle w:val="NormalWeb"/>
            <w:spacing w:before="0" w:beforeAutospacing="0" w:after="0" w:afterAutospacing="0"/>
            <w:jc w:val="both"/>
            <w:divId w:val="1942375459"/>
          </w:pPr>
          <w:r w:rsidRPr="007A46B0">
            <w:t> </w:t>
          </w:r>
        </w:p>
        <w:p w:rsidR="007A46B0" w:rsidRPr="007A46B0" w:rsidRDefault="007A46B0" w:rsidP="007A46B0">
          <w:pPr>
            <w:pStyle w:val="NormalWeb"/>
            <w:spacing w:before="0" w:beforeAutospacing="0" w:after="0" w:afterAutospacing="0"/>
            <w:jc w:val="both"/>
            <w:divId w:val="1942375459"/>
          </w:pPr>
          <w:r w:rsidRPr="007A46B0">
            <w:t>Proxy advisory firms also issue corporate governance ratings for public companies, use those corporate governance ratings in formulating their voting recommendations for or against a company, and provide consulting services to companies to assist in raising their corporate governance ratings. Conflicts of interest abound at every step.</w:t>
          </w:r>
        </w:p>
        <w:p w:rsidR="007A46B0" w:rsidRPr="007A46B0" w:rsidRDefault="007A46B0" w:rsidP="007A46B0">
          <w:pPr>
            <w:pStyle w:val="NormalWeb"/>
            <w:spacing w:before="0" w:beforeAutospacing="0" w:after="0" w:afterAutospacing="0"/>
            <w:jc w:val="both"/>
            <w:divId w:val="1942375459"/>
          </w:pPr>
          <w:r w:rsidRPr="007A46B0">
            <w:t> </w:t>
          </w:r>
        </w:p>
        <w:p w:rsidR="007A46B0" w:rsidRPr="007A46B0" w:rsidRDefault="007A46B0" w:rsidP="007A46B0">
          <w:pPr>
            <w:pStyle w:val="NormalWeb"/>
            <w:spacing w:before="0" w:beforeAutospacing="0" w:after="0" w:afterAutospacing="0"/>
            <w:jc w:val="both"/>
            <w:divId w:val="1942375459"/>
          </w:pPr>
          <w:r w:rsidRPr="007A46B0">
            <w:t>What does S</w:t>
          </w:r>
          <w:r>
            <w:t>.</w:t>
          </w:r>
          <w:r w:rsidRPr="007A46B0">
            <w:t>B</w:t>
          </w:r>
          <w:r>
            <w:t>.</w:t>
          </w:r>
          <w:r w:rsidRPr="007A46B0">
            <w:t xml:space="preserve"> 2337 do?</w:t>
          </w:r>
        </w:p>
        <w:p w:rsidR="007A46B0" w:rsidRPr="007A46B0" w:rsidRDefault="007A46B0" w:rsidP="007A46B0">
          <w:pPr>
            <w:pStyle w:val="NormalWeb"/>
            <w:spacing w:before="0" w:beforeAutospacing="0" w:after="0" w:afterAutospacing="0"/>
            <w:jc w:val="both"/>
            <w:divId w:val="1942375459"/>
          </w:pPr>
          <w:r w:rsidRPr="007A46B0">
            <w:t> </w:t>
          </w:r>
        </w:p>
        <w:p w:rsidR="007A46B0" w:rsidRPr="007A46B0" w:rsidRDefault="007A46B0" w:rsidP="007A46B0">
          <w:pPr>
            <w:numPr>
              <w:ilvl w:val="0"/>
              <w:numId w:val="1"/>
            </w:numPr>
            <w:spacing w:after="0" w:line="240" w:lineRule="auto"/>
            <w:jc w:val="both"/>
            <w:divId w:val="1942375459"/>
            <w:rPr>
              <w:rFonts w:eastAsia="Times New Roman"/>
            </w:rPr>
          </w:pPr>
          <w:r w:rsidRPr="007A46B0">
            <w:rPr>
              <w:rFonts w:eastAsia="Times New Roman"/>
            </w:rPr>
            <w:t>Helps prevent fraud and deceit by requiring proxy advisory firms to make certain disclosures when their proxy advisory services are based on non-financial factors and/or are in conflict with other proxy advisory services relating to the same company or shareholder proposal.</w:t>
          </w:r>
        </w:p>
        <w:p w:rsidR="007A46B0" w:rsidRPr="007A46B0" w:rsidRDefault="007A46B0" w:rsidP="007A46B0">
          <w:pPr>
            <w:numPr>
              <w:ilvl w:val="0"/>
              <w:numId w:val="1"/>
            </w:numPr>
            <w:spacing w:after="0" w:line="240" w:lineRule="auto"/>
            <w:jc w:val="both"/>
            <w:divId w:val="1942375459"/>
            <w:rPr>
              <w:rFonts w:eastAsia="Times New Roman"/>
            </w:rPr>
          </w:pPr>
          <w:r w:rsidRPr="007A46B0">
            <w:rPr>
              <w:rFonts w:eastAsia="Times New Roman"/>
            </w:rPr>
            <w:t>Required disclosures include to the recipient client(s), to the subject company, to the attorney general, and to the general public.</w:t>
          </w:r>
        </w:p>
        <w:p w:rsidR="007A46B0" w:rsidRPr="007A46B0" w:rsidRDefault="007A46B0" w:rsidP="007A46B0">
          <w:pPr>
            <w:numPr>
              <w:ilvl w:val="0"/>
              <w:numId w:val="1"/>
            </w:numPr>
            <w:spacing w:after="0" w:line="240" w:lineRule="auto"/>
            <w:jc w:val="both"/>
            <w:divId w:val="1942375459"/>
            <w:rPr>
              <w:rFonts w:eastAsia="Times New Roman"/>
            </w:rPr>
          </w:pPr>
          <w:r w:rsidRPr="007A46B0">
            <w:rPr>
              <w:rFonts w:eastAsia="Times New Roman"/>
            </w:rPr>
            <w:t>Allows for enforcement of its provisions by reference to existing DTPA and Declaratory Judgment Act procedures and remedies.</w:t>
          </w:r>
        </w:p>
        <w:p w:rsidR="005320AA" w:rsidRPr="00D70925" w:rsidRDefault="00DA53CD" w:rsidP="007A46B0">
          <w:pPr>
            <w:spacing w:after="0" w:line="240" w:lineRule="auto"/>
            <w:jc w:val="both"/>
            <w:rPr>
              <w:rFonts w:eastAsia="Times New Roman" w:cs="Times New Roman"/>
              <w:bCs/>
              <w:szCs w:val="24"/>
            </w:rPr>
          </w:pPr>
        </w:p>
      </w:sdtContent>
    </w:sdt>
    <w:p w:rsidR="007A46B0" w:rsidRDefault="007A46B0" w:rsidP="007A46B0">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2337</w:t>
      </w:r>
      <w:r w:rsidR="00FF6471">
        <w:rPr>
          <w:rFonts w:cs="Times New Roman"/>
          <w:szCs w:val="24"/>
        </w:rPr>
        <w:t xml:space="preserve"> </w:t>
      </w:r>
      <w:bookmarkStart w:id="1" w:name="AmendsCurrentLaw"/>
      <w:bookmarkEnd w:id="1"/>
      <w:r>
        <w:rPr>
          <w:rFonts w:cs="Times New Roman"/>
          <w:szCs w:val="24"/>
        </w:rPr>
        <w:t>amends current law relating to the provision of proxy advisory services in connection with certain entities domiciled in this state.</w:t>
      </w:r>
    </w:p>
    <w:p w:rsidR="007A46B0" w:rsidRPr="007A46B0" w:rsidRDefault="007A46B0" w:rsidP="007A46B0">
      <w:pPr>
        <w:spacing w:after="0" w:line="240" w:lineRule="auto"/>
        <w:jc w:val="both"/>
        <w:rPr>
          <w:rFonts w:eastAsia="Times New Roman" w:cs="Times New Roman"/>
          <w:szCs w:val="24"/>
        </w:rPr>
      </w:pPr>
    </w:p>
    <w:p w:rsidR="00C43D01" w:rsidRPr="005C2A78" w:rsidRDefault="00DA53CD" w:rsidP="007A46B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7A46B0">
      <w:pPr>
        <w:spacing w:after="0" w:line="240" w:lineRule="auto"/>
        <w:jc w:val="both"/>
        <w:rPr>
          <w:rFonts w:cs="Times New Roman"/>
          <w:szCs w:val="24"/>
        </w:rPr>
      </w:pPr>
    </w:p>
    <w:p w:rsidR="00C43D01" w:rsidRPr="006529C4" w:rsidRDefault="007A46B0" w:rsidP="007A46B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7A46B0">
      <w:pPr>
        <w:spacing w:after="0" w:line="240" w:lineRule="auto"/>
        <w:jc w:val="both"/>
        <w:rPr>
          <w:rFonts w:cs="Times New Roman"/>
          <w:szCs w:val="24"/>
        </w:rPr>
      </w:pPr>
    </w:p>
    <w:p w:rsidR="00C43D01" w:rsidRPr="005C2A78" w:rsidRDefault="00DA53CD" w:rsidP="007A46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7A46B0">
      <w:pPr>
        <w:spacing w:after="0" w:line="240" w:lineRule="auto"/>
        <w:jc w:val="both"/>
        <w:rPr>
          <w:rFonts w:eastAsia="Times New Roman" w:cs="Times New Roman"/>
          <w:szCs w:val="24"/>
        </w:rPr>
      </w:pPr>
    </w:p>
    <w:p w:rsidR="00C43D01" w:rsidRDefault="00C43D01" w:rsidP="007A46B0">
      <w:pPr>
        <w:spacing w:after="0" w:line="240" w:lineRule="auto"/>
        <w:jc w:val="both"/>
        <w:rPr>
          <w:rFonts w:eastAsia="Times New Roman" w:cs="Times New Roman"/>
          <w:szCs w:val="24"/>
        </w:rPr>
      </w:pPr>
      <w:r w:rsidRPr="005C2A78">
        <w:rPr>
          <w:rFonts w:eastAsia="Times New Roman" w:cs="Times New Roman"/>
          <w:szCs w:val="24"/>
        </w:rPr>
        <w:t>SECTION 1.</w:t>
      </w:r>
      <w:r w:rsidR="007A46B0">
        <w:rPr>
          <w:rFonts w:eastAsia="Times New Roman" w:cs="Times New Roman"/>
          <w:szCs w:val="24"/>
        </w:rPr>
        <w:t xml:space="preserve"> Amends Title 2, Chapter 21, Business Organizations Code, by adding Subchapter T, as follows:</w:t>
      </w:r>
    </w:p>
    <w:p w:rsidR="007A46B0" w:rsidRDefault="007A46B0" w:rsidP="007A46B0">
      <w:pPr>
        <w:spacing w:after="0" w:line="240" w:lineRule="auto"/>
        <w:jc w:val="both"/>
        <w:rPr>
          <w:rFonts w:eastAsia="Times New Roman" w:cs="Times New Roman"/>
          <w:szCs w:val="24"/>
        </w:rPr>
      </w:pPr>
    </w:p>
    <w:p w:rsidR="007A46B0" w:rsidRDefault="007A46B0" w:rsidP="007A46B0">
      <w:pPr>
        <w:spacing w:after="0" w:line="240" w:lineRule="auto"/>
        <w:jc w:val="center"/>
        <w:rPr>
          <w:rFonts w:eastAsia="Times New Roman" w:cs="Times New Roman"/>
          <w:szCs w:val="24"/>
        </w:rPr>
      </w:pPr>
      <w:r>
        <w:rPr>
          <w:rFonts w:eastAsia="Times New Roman" w:cs="Times New Roman"/>
          <w:szCs w:val="24"/>
        </w:rPr>
        <w:t>SUBCHAPTER T. PROXY ADVISORS</w:t>
      </w:r>
    </w:p>
    <w:p w:rsidR="007A46B0" w:rsidRDefault="007A46B0" w:rsidP="007A46B0">
      <w:pPr>
        <w:spacing w:after="0" w:line="240" w:lineRule="auto"/>
        <w:jc w:val="center"/>
        <w:rPr>
          <w:rFonts w:eastAsia="Times New Roman" w:cs="Times New Roman"/>
          <w:szCs w:val="24"/>
        </w:rPr>
      </w:pPr>
    </w:p>
    <w:p w:rsidR="007A46B0" w:rsidRDefault="007A46B0" w:rsidP="007A46B0">
      <w:pPr>
        <w:spacing w:after="0" w:line="240" w:lineRule="auto"/>
        <w:ind w:left="720"/>
        <w:jc w:val="both"/>
        <w:rPr>
          <w:rFonts w:eastAsia="Times New Roman" w:cs="Times New Roman"/>
          <w:szCs w:val="24"/>
        </w:rPr>
      </w:pPr>
      <w:r>
        <w:rPr>
          <w:rFonts w:eastAsia="Times New Roman" w:cs="Times New Roman"/>
          <w:szCs w:val="24"/>
        </w:rPr>
        <w:t>Sec. 21.1001. DEFINITIONS. Defines "company," "company proposal," "investment manager," "proxy advisor," "proxy advisory services," "proxy proposal," and "shareholder."</w:t>
      </w:r>
    </w:p>
    <w:p w:rsidR="007A46B0" w:rsidRDefault="007A46B0" w:rsidP="007A46B0">
      <w:pPr>
        <w:spacing w:after="0" w:line="240" w:lineRule="auto"/>
        <w:ind w:left="720"/>
        <w:jc w:val="both"/>
        <w:rPr>
          <w:rFonts w:eastAsia="Times New Roman" w:cs="Times New Roman"/>
          <w:szCs w:val="24"/>
        </w:rPr>
      </w:pPr>
    </w:p>
    <w:p w:rsidR="007A46B0" w:rsidRDefault="007A46B0" w:rsidP="007A46B0">
      <w:pPr>
        <w:spacing w:after="0" w:line="240" w:lineRule="auto"/>
        <w:ind w:left="720"/>
        <w:jc w:val="both"/>
        <w:rPr>
          <w:rFonts w:eastAsia="Times New Roman" w:cs="Times New Roman"/>
          <w:szCs w:val="24"/>
        </w:rPr>
      </w:pPr>
      <w:r>
        <w:rPr>
          <w:rFonts w:eastAsia="Times New Roman" w:cs="Times New Roman"/>
          <w:szCs w:val="24"/>
        </w:rPr>
        <w:t xml:space="preserve">Sec. 21.1002. OBLIGATION TO DISCHARGE DUTY BASED SOLELY ON CERTAIN FINANCIAL INTERESTS. (a) Requires a proxy advisor, except as otherwise provided in this section, to </w:t>
      </w:r>
      <w:r w:rsidRPr="007A46B0">
        <w:rPr>
          <w:rFonts w:eastAsia="Times New Roman" w:cs="Times New Roman"/>
          <w:szCs w:val="24"/>
        </w:rPr>
        <w:t>provide proxy advisory services solely in the best financial interest of the shareholders of a  company, based on quantitative, impartial standards, for the sole purpose of maximizing financial return and control associated levels of risk.</w:t>
      </w:r>
    </w:p>
    <w:p w:rsidR="007A46B0" w:rsidRPr="007A46B0" w:rsidRDefault="007A46B0" w:rsidP="007A46B0">
      <w:pPr>
        <w:spacing w:after="0" w:line="240" w:lineRule="auto"/>
        <w:ind w:left="720"/>
        <w:jc w:val="both"/>
        <w:rPr>
          <w:rFonts w:eastAsia="Times New Roman" w:cs="Times New Roman"/>
          <w:szCs w:val="24"/>
        </w:rPr>
      </w:pPr>
    </w:p>
    <w:p w:rsidR="007A46B0" w:rsidRDefault="007A46B0" w:rsidP="007A46B0">
      <w:pPr>
        <w:spacing w:after="0" w:line="240" w:lineRule="auto"/>
        <w:ind w:left="1440"/>
        <w:jc w:val="both"/>
        <w:rPr>
          <w:rFonts w:eastAsia="Times New Roman" w:cs="Times New Roman"/>
          <w:szCs w:val="24"/>
        </w:rPr>
      </w:pPr>
      <w:r w:rsidRPr="007A46B0">
        <w:rPr>
          <w:rFonts w:eastAsia="Times New Roman" w:cs="Times New Roman"/>
          <w:szCs w:val="24"/>
        </w:rPr>
        <w:t xml:space="preserve">(b) </w:t>
      </w:r>
      <w:r>
        <w:rPr>
          <w:rFonts w:eastAsia="Times New Roman" w:cs="Times New Roman"/>
          <w:szCs w:val="24"/>
        </w:rPr>
        <w:t>Provides that, f</w:t>
      </w:r>
      <w:r w:rsidRPr="007A46B0">
        <w:rPr>
          <w:rFonts w:eastAsia="Times New Roman" w:cs="Times New Roman"/>
          <w:szCs w:val="24"/>
        </w:rPr>
        <w:t>or purposes of this section, proxy advisory services are not provided solely in the best financial interest of the shareholders if based, all or in part, on non-financial factors, including any commitments, initiatives, policies, targets, or subjective or value-based standards pertaining to</w:t>
      </w:r>
      <w:r>
        <w:rPr>
          <w:rFonts w:eastAsia="Times New Roman" w:cs="Times New Roman"/>
          <w:szCs w:val="24"/>
        </w:rPr>
        <w:t xml:space="preserve"> certain principles and factors.</w:t>
      </w:r>
    </w:p>
    <w:p w:rsidR="007A46B0" w:rsidRDefault="007A46B0" w:rsidP="007A46B0">
      <w:pPr>
        <w:spacing w:after="0" w:line="240" w:lineRule="auto"/>
        <w:ind w:left="1440"/>
        <w:jc w:val="both"/>
        <w:rPr>
          <w:rFonts w:eastAsia="Times New Roman" w:cs="Times New Roman"/>
          <w:szCs w:val="24"/>
        </w:rPr>
      </w:pPr>
    </w:p>
    <w:p w:rsidR="007A46B0" w:rsidRDefault="007A46B0" w:rsidP="007A46B0">
      <w:pPr>
        <w:spacing w:after="0" w:line="240" w:lineRule="auto"/>
        <w:ind w:left="1440"/>
        <w:jc w:val="both"/>
        <w:rPr>
          <w:rFonts w:eastAsia="Times New Roman" w:cs="Times New Roman"/>
          <w:szCs w:val="24"/>
        </w:rPr>
      </w:pPr>
      <w:r>
        <w:rPr>
          <w:rFonts w:eastAsia="Times New Roman" w:cs="Times New Roman"/>
          <w:szCs w:val="24"/>
        </w:rPr>
        <w:t xml:space="preserve">(c) Requires the proxy advisory, for any proxy advisory services that are not provided solely in the best financial interest of the shareholders, to take certain actions. </w:t>
      </w:r>
    </w:p>
    <w:p w:rsidR="007A46B0" w:rsidRDefault="007A46B0" w:rsidP="007A46B0">
      <w:pPr>
        <w:spacing w:after="0" w:line="240" w:lineRule="auto"/>
        <w:ind w:left="1440"/>
        <w:jc w:val="both"/>
        <w:rPr>
          <w:rFonts w:eastAsia="Times New Roman" w:cs="Times New Roman"/>
          <w:szCs w:val="24"/>
        </w:rPr>
      </w:pPr>
    </w:p>
    <w:p w:rsidR="007A46B0" w:rsidRDefault="007A46B0" w:rsidP="007A46B0">
      <w:pPr>
        <w:spacing w:after="0" w:line="240" w:lineRule="auto"/>
        <w:ind w:left="720"/>
        <w:jc w:val="both"/>
        <w:rPr>
          <w:rFonts w:eastAsia="Times New Roman" w:cs="Times New Roman"/>
          <w:szCs w:val="24"/>
        </w:rPr>
      </w:pPr>
      <w:r w:rsidRPr="007A46B0">
        <w:rPr>
          <w:rFonts w:eastAsia="Times New Roman" w:cs="Times New Roman"/>
          <w:szCs w:val="24"/>
        </w:rPr>
        <w:t xml:space="preserve">Sec. 21.1003. VOTING RECOMMENDATIONS; CONFLICTS. (a) </w:t>
      </w:r>
      <w:r>
        <w:rPr>
          <w:rFonts w:eastAsia="Times New Roman" w:cs="Times New Roman"/>
          <w:szCs w:val="24"/>
        </w:rPr>
        <w:t>Requires that, i</w:t>
      </w:r>
      <w:r w:rsidRPr="007A46B0">
        <w:rPr>
          <w:rFonts w:eastAsia="Times New Roman" w:cs="Times New Roman"/>
          <w:szCs w:val="24"/>
        </w:rPr>
        <w:t xml:space="preserve">f a proxy advisor provides proxy advisory services regarding a company to multiple shareholders or other interested parties that include voting recommendations that differ in any material respect regarding the same proxy proposal or company proposal, </w:t>
      </w:r>
      <w:r>
        <w:rPr>
          <w:rFonts w:eastAsia="Times New Roman" w:cs="Times New Roman"/>
          <w:szCs w:val="24"/>
        </w:rPr>
        <w:t xml:space="preserve">the proxy advisory services </w:t>
      </w:r>
      <w:r w:rsidRPr="007A46B0">
        <w:rPr>
          <w:rFonts w:eastAsia="Times New Roman" w:cs="Times New Roman"/>
          <w:szCs w:val="24"/>
        </w:rPr>
        <w:t>be considered not to be in the best financial interest of the shareholders.</w:t>
      </w:r>
    </w:p>
    <w:p w:rsidR="007A46B0" w:rsidRPr="007A46B0" w:rsidRDefault="007A46B0" w:rsidP="007A46B0">
      <w:pPr>
        <w:spacing w:after="0" w:line="240" w:lineRule="auto"/>
        <w:ind w:left="720"/>
        <w:jc w:val="both"/>
        <w:rPr>
          <w:rFonts w:eastAsia="Times New Roman" w:cs="Times New Roman"/>
          <w:szCs w:val="24"/>
        </w:rPr>
      </w:pPr>
    </w:p>
    <w:p w:rsidR="007A46B0" w:rsidRDefault="007A46B0" w:rsidP="007A46B0">
      <w:pPr>
        <w:spacing w:after="0" w:line="240" w:lineRule="auto"/>
        <w:ind w:left="1440"/>
        <w:jc w:val="both"/>
        <w:rPr>
          <w:rFonts w:eastAsia="Times New Roman" w:cs="Times New Roman"/>
          <w:szCs w:val="24"/>
        </w:rPr>
      </w:pPr>
      <w:r w:rsidRPr="007A46B0">
        <w:rPr>
          <w:rFonts w:eastAsia="Times New Roman" w:cs="Times New Roman"/>
          <w:szCs w:val="24"/>
        </w:rPr>
        <w:t xml:space="preserve">(b) </w:t>
      </w:r>
      <w:r>
        <w:rPr>
          <w:rFonts w:eastAsia="Times New Roman" w:cs="Times New Roman"/>
          <w:szCs w:val="24"/>
        </w:rPr>
        <w:t>Requires the proxy advisor, f</w:t>
      </w:r>
      <w:r w:rsidRPr="007A46B0">
        <w:rPr>
          <w:rFonts w:eastAsia="Times New Roman" w:cs="Times New Roman"/>
          <w:szCs w:val="24"/>
        </w:rPr>
        <w:t xml:space="preserve">or any proxy advisory services described in Subsection (a), in addition to complying with the requirements of Section 21.1002(c), </w:t>
      </w:r>
      <w:r>
        <w:rPr>
          <w:rFonts w:eastAsia="Times New Roman" w:cs="Times New Roman"/>
          <w:szCs w:val="24"/>
        </w:rPr>
        <w:t>to</w:t>
      </w:r>
      <w:r w:rsidRPr="007A46B0">
        <w:rPr>
          <w:rFonts w:eastAsia="Times New Roman" w:cs="Times New Roman"/>
          <w:szCs w:val="24"/>
        </w:rPr>
        <w:t xml:space="preserve"> immediately</w:t>
      </w:r>
      <w:r>
        <w:rPr>
          <w:rFonts w:eastAsia="Times New Roman" w:cs="Times New Roman"/>
          <w:szCs w:val="24"/>
        </w:rPr>
        <w:t xml:space="preserve"> take certain actions. </w:t>
      </w:r>
    </w:p>
    <w:p w:rsidR="007A46B0" w:rsidRDefault="007A46B0" w:rsidP="007A46B0">
      <w:pPr>
        <w:spacing w:after="0" w:line="240" w:lineRule="auto"/>
        <w:ind w:left="1440"/>
        <w:jc w:val="both"/>
        <w:rPr>
          <w:rFonts w:eastAsia="Times New Roman" w:cs="Times New Roman"/>
          <w:szCs w:val="24"/>
        </w:rPr>
      </w:pPr>
    </w:p>
    <w:p w:rsidR="007A46B0" w:rsidRPr="005C2A78" w:rsidRDefault="007A46B0" w:rsidP="007A46B0">
      <w:pPr>
        <w:spacing w:after="0" w:line="240" w:lineRule="auto"/>
        <w:ind w:left="720"/>
        <w:jc w:val="both"/>
        <w:rPr>
          <w:rFonts w:eastAsia="Times New Roman" w:cs="Times New Roman"/>
          <w:szCs w:val="24"/>
        </w:rPr>
      </w:pPr>
      <w:r w:rsidRPr="007A46B0">
        <w:rPr>
          <w:rFonts w:eastAsia="Times New Roman" w:cs="Times New Roman"/>
          <w:szCs w:val="24"/>
        </w:rPr>
        <w:t>Sec. 21.1004. VIOLATIONS; DECLARATORY JUDGMENT. A</w:t>
      </w:r>
      <w:r>
        <w:rPr>
          <w:rFonts w:eastAsia="Times New Roman" w:cs="Times New Roman"/>
          <w:szCs w:val="24"/>
        </w:rPr>
        <w:t>uthorizes a</w:t>
      </w:r>
      <w:r w:rsidRPr="007A46B0">
        <w:rPr>
          <w:rFonts w:eastAsia="Times New Roman" w:cs="Times New Roman"/>
          <w:szCs w:val="24"/>
        </w:rPr>
        <w:t xml:space="preserve">n affected party, including the company that is the subject of the proxy advisory services, any shareholders of the company, or other interested parties, </w:t>
      </w:r>
      <w:r>
        <w:rPr>
          <w:rFonts w:eastAsia="Times New Roman" w:cs="Times New Roman"/>
          <w:szCs w:val="24"/>
        </w:rPr>
        <w:t>to</w:t>
      </w:r>
      <w:r w:rsidRPr="007A46B0">
        <w:rPr>
          <w:rFonts w:eastAsia="Times New Roman" w:cs="Times New Roman"/>
          <w:szCs w:val="24"/>
        </w:rPr>
        <w:t xml:space="preserve"> bring an action under Chapter 37</w:t>
      </w:r>
      <w:r>
        <w:rPr>
          <w:rFonts w:eastAsia="Times New Roman" w:cs="Times New Roman"/>
          <w:szCs w:val="24"/>
        </w:rPr>
        <w:t xml:space="preserve"> (Declaratory Judgments)</w:t>
      </w:r>
      <w:r w:rsidRPr="007A46B0">
        <w:rPr>
          <w:rFonts w:eastAsia="Times New Roman" w:cs="Times New Roman"/>
          <w:szCs w:val="24"/>
        </w:rPr>
        <w:t>, Civil Practice and Remedies Code, to determine whether a proxy advisor has committed a violation of this subchapter.</w:t>
      </w:r>
    </w:p>
    <w:p w:rsidR="00C43D01" w:rsidRPr="005C2A78" w:rsidRDefault="00C43D01" w:rsidP="007A46B0">
      <w:pPr>
        <w:spacing w:after="0" w:line="240" w:lineRule="auto"/>
        <w:jc w:val="both"/>
        <w:rPr>
          <w:rFonts w:eastAsia="Times New Roman" w:cs="Times New Roman"/>
          <w:szCs w:val="24"/>
        </w:rPr>
      </w:pPr>
    </w:p>
    <w:p w:rsidR="00C43D01" w:rsidRPr="005C2A78" w:rsidRDefault="00C43D01" w:rsidP="007A46B0">
      <w:pPr>
        <w:spacing w:after="0" w:line="240" w:lineRule="auto"/>
        <w:jc w:val="both"/>
        <w:rPr>
          <w:rFonts w:eastAsia="Times New Roman" w:cs="Times New Roman"/>
          <w:szCs w:val="24"/>
        </w:rPr>
      </w:pPr>
      <w:r w:rsidRPr="005C2A78">
        <w:rPr>
          <w:rFonts w:eastAsia="Times New Roman" w:cs="Times New Roman"/>
          <w:szCs w:val="24"/>
        </w:rPr>
        <w:t>SECTION 2.</w:t>
      </w:r>
      <w:r w:rsidR="007A46B0">
        <w:rPr>
          <w:rFonts w:eastAsia="Times New Roman" w:cs="Times New Roman"/>
          <w:szCs w:val="24"/>
        </w:rPr>
        <w:t xml:space="preserve"> Makes application of this Act prospective. </w:t>
      </w:r>
    </w:p>
    <w:p w:rsidR="00C43D01" w:rsidRPr="005C2A78" w:rsidRDefault="00C43D01" w:rsidP="007A46B0">
      <w:pPr>
        <w:spacing w:after="0" w:line="240" w:lineRule="auto"/>
        <w:jc w:val="both"/>
        <w:rPr>
          <w:rFonts w:eastAsia="Times New Roman" w:cs="Times New Roman"/>
          <w:szCs w:val="24"/>
        </w:rPr>
      </w:pPr>
    </w:p>
    <w:p w:rsidR="00986E9F" w:rsidRPr="00C8671F" w:rsidRDefault="00C43D01" w:rsidP="007A46B0">
      <w:pPr>
        <w:spacing w:after="0" w:line="240" w:lineRule="auto"/>
        <w:jc w:val="both"/>
        <w:rPr>
          <w:rFonts w:eastAsia="Times New Roman" w:cs="Times New Roman"/>
          <w:szCs w:val="24"/>
        </w:rPr>
      </w:pPr>
      <w:r w:rsidRPr="005C2A78">
        <w:rPr>
          <w:rFonts w:eastAsia="Times New Roman" w:cs="Times New Roman"/>
          <w:szCs w:val="24"/>
        </w:rPr>
        <w:t xml:space="preserve">SECTION 3. </w:t>
      </w:r>
      <w:r w:rsidR="007A46B0">
        <w:rPr>
          <w:rFonts w:eastAsia="Times New Roman" w:cs="Times New Roman"/>
          <w:szCs w:val="24"/>
        </w:rPr>
        <w:t xml:space="preserve">Effective date: upon passage or September 1, 2025. </w:t>
      </w:r>
    </w:p>
    <w:sectPr w:rsidR="00986E9F"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3CD" w:rsidRDefault="00DA53CD" w:rsidP="000F1DF9">
      <w:pPr>
        <w:spacing w:after="0" w:line="240" w:lineRule="auto"/>
      </w:pPr>
      <w:r>
        <w:separator/>
      </w:r>
    </w:p>
  </w:endnote>
  <w:endnote w:type="continuationSeparator" w:id="0">
    <w:p w:rsidR="00DA53CD" w:rsidRDefault="00DA53C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A53CD"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A46B0">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7A46B0">
                <w:rPr>
                  <w:sz w:val="20"/>
                  <w:szCs w:val="20"/>
                </w:rPr>
                <w:t>S.B. 2337</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7A46B0">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A53CD"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3CD" w:rsidRDefault="00DA53CD" w:rsidP="000F1DF9">
      <w:pPr>
        <w:spacing w:after="0" w:line="240" w:lineRule="auto"/>
      </w:pPr>
      <w:r>
        <w:separator/>
      </w:r>
    </w:p>
  </w:footnote>
  <w:footnote w:type="continuationSeparator" w:id="0">
    <w:p w:rsidR="00DA53CD" w:rsidRDefault="00DA53C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87D"/>
    <w:multiLevelType w:val="multilevel"/>
    <w:tmpl w:val="F214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30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A46B0"/>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5567F"/>
    <w:rsid w:val="00D70925"/>
    <w:rsid w:val="00DA53CD"/>
    <w:rsid w:val="00DB48D8"/>
    <w:rsid w:val="00E036F8"/>
    <w:rsid w:val="00E10F50"/>
    <w:rsid w:val="00E23091"/>
    <w:rsid w:val="00E32B14"/>
    <w:rsid w:val="00E46194"/>
    <w:rsid w:val="00EE2AD8"/>
    <w:rsid w:val="00F30915"/>
    <w:rsid w:val="00FC40B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B828E"/>
  <w15:docId w15:val="{7C34D78B-6A23-4242-A7FC-128912B5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A46B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3B1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5737</TotalTime>
  <Pages>1</Pages>
  <Words>738</Words>
  <Characters>4211</Characters>
  <Application>Microsoft Office Word</Application>
  <DocSecurity>0</DocSecurity>
  <Lines>35</Lines>
  <Paragraphs>9</Paragraphs>
  <ScaleCrop>false</ScaleCrop>
  <Company>Texas Legislative Council</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2025-04-22T22:56:00Z</cp:lastPrinted>
  <dcterms:created xsi:type="dcterms:W3CDTF">2015-05-29T14:24:00Z</dcterms:created>
  <dcterms:modified xsi:type="dcterms:W3CDTF">2025-04-22T22:56:00Z</dcterms:modified>
</cp:coreProperties>
</file>

<file path=docProps/custom.xml><?xml version="1.0" encoding="utf-8"?>
<op:Properties xmlns:vt="http://schemas.openxmlformats.org/officeDocument/2006/docPropsVTypes" xmlns:op="http://schemas.openxmlformats.org/officeDocument/2006/custom-properties"/>
</file>