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08B6" w:rsidRDefault="004008B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7C6735E07F4DCB9F68FB8927127769"/>
          </w:placeholder>
        </w:sdtPr>
        <w:sdtContent>
          <w:r w:rsidRPr="005C2A78">
            <w:rPr>
              <w:rFonts w:cs="Times New Roman"/>
              <w:b/>
              <w:szCs w:val="24"/>
              <w:u w:val="single"/>
            </w:rPr>
            <w:t>BILL ANALYSIS</w:t>
          </w:r>
        </w:sdtContent>
      </w:sdt>
    </w:p>
    <w:p w:rsidR="004008B6" w:rsidRPr="00585C31" w:rsidRDefault="004008B6" w:rsidP="000F1DF9">
      <w:pPr>
        <w:spacing w:after="0" w:line="240" w:lineRule="auto"/>
        <w:rPr>
          <w:rFonts w:cs="Times New Roman"/>
          <w:szCs w:val="24"/>
        </w:rPr>
      </w:pPr>
    </w:p>
    <w:p w:rsidR="004008B6" w:rsidRPr="00585C31" w:rsidRDefault="004008B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008B6" w:rsidTr="000F1DF9">
        <w:tc>
          <w:tcPr>
            <w:tcW w:w="2718" w:type="dxa"/>
          </w:tcPr>
          <w:p w:rsidR="004008B6" w:rsidRPr="005C2A78" w:rsidRDefault="004008B6" w:rsidP="006D756B">
            <w:pPr>
              <w:rPr>
                <w:rFonts w:cs="Times New Roman"/>
                <w:szCs w:val="24"/>
              </w:rPr>
            </w:pPr>
            <w:sdt>
              <w:sdtPr>
                <w:rPr>
                  <w:rFonts w:cs="Times New Roman"/>
                  <w:szCs w:val="24"/>
                </w:rPr>
                <w:alias w:val="Agency Title"/>
                <w:tag w:val="AgencyTitleContentControl"/>
                <w:id w:val="1920747753"/>
                <w:lock w:val="sdtContentLocked"/>
                <w:placeholder>
                  <w:docPart w:val="E20DE934F7664A689620AC967D05EFC9"/>
                </w:placeholder>
              </w:sdtPr>
              <w:sdtEndPr>
                <w:rPr>
                  <w:rFonts w:cstheme="minorBidi"/>
                  <w:szCs w:val="22"/>
                </w:rPr>
              </w:sdtEndPr>
              <w:sdtContent>
                <w:r>
                  <w:rPr>
                    <w:rFonts w:cs="Times New Roman"/>
                    <w:szCs w:val="24"/>
                  </w:rPr>
                  <w:t>Senate Research Center</w:t>
                </w:r>
              </w:sdtContent>
            </w:sdt>
          </w:p>
        </w:tc>
        <w:tc>
          <w:tcPr>
            <w:tcW w:w="6858" w:type="dxa"/>
          </w:tcPr>
          <w:p w:rsidR="004008B6" w:rsidRPr="00FF6471" w:rsidRDefault="004008B6" w:rsidP="000F1DF9">
            <w:pPr>
              <w:jc w:val="right"/>
              <w:rPr>
                <w:rFonts w:cs="Times New Roman"/>
                <w:szCs w:val="24"/>
              </w:rPr>
            </w:pPr>
            <w:sdt>
              <w:sdtPr>
                <w:rPr>
                  <w:rFonts w:cs="Times New Roman"/>
                  <w:szCs w:val="24"/>
                </w:rPr>
                <w:alias w:val="Bill Number"/>
                <w:tag w:val="BillNumberOne"/>
                <w:id w:val="-410784069"/>
                <w:lock w:val="sdtContentLocked"/>
                <w:placeholder>
                  <w:docPart w:val="4B795B9E8DE649ADB289A6BE9F339933"/>
                </w:placeholder>
              </w:sdtPr>
              <w:sdtContent>
                <w:r>
                  <w:rPr>
                    <w:rFonts w:cs="Times New Roman"/>
                    <w:szCs w:val="24"/>
                  </w:rPr>
                  <w:t>C.S.S.B. 2337</w:t>
                </w:r>
              </w:sdtContent>
            </w:sdt>
          </w:p>
        </w:tc>
      </w:tr>
      <w:tr w:rsidR="004008B6" w:rsidTr="000F1DF9">
        <w:sdt>
          <w:sdtPr>
            <w:rPr>
              <w:rFonts w:cs="Times New Roman"/>
              <w:szCs w:val="24"/>
            </w:rPr>
            <w:alias w:val="TLCNumber"/>
            <w:tag w:val="TLCNumber"/>
            <w:id w:val="-542600604"/>
            <w:lock w:val="sdtLocked"/>
            <w:placeholder>
              <w:docPart w:val="8EE78AA2FF504761AE06118A9F65E83F"/>
            </w:placeholder>
          </w:sdtPr>
          <w:sdtContent>
            <w:tc>
              <w:tcPr>
                <w:tcW w:w="2718" w:type="dxa"/>
              </w:tcPr>
              <w:p w:rsidR="004008B6" w:rsidRPr="000F1DF9" w:rsidRDefault="004008B6" w:rsidP="00C65088">
                <w:pPr>
                  <w:rPr>
                    <w:rFonts w:cs="Times New Roman"/>
                    <w:szCs w:val="24"/>
                  </w:rPr>
                </w:pPr>
                <w:r>
                  <w:rPr>
                    <w:rFonts w:cs="Times New Roman"/>
                    <w:szCs w:val="24"/>
                  </w:rPr>
                  <w:t>89R26282 SCR-F</w:t>
                </w:r>
              </w:p>
            </w:tc>
          </w:sdtContent>
        </w:sdt>
        <w:tc>
          <w:tcPr>
            <w:tcW w:w="6858" w:type="dxa"/>
          </w:tcPr>
          <w:p w:rsidR="004008B6" w:rsidRPr="005C2A78" w:rsidRDefault="004008B6" w:rsidP="00073EDD">
            <w:pPr>
              <w:jc w:val="right"/>
              <w:rPr>
                <w:rFonts w:cs="Times New Roman"/>
                <w:szCs w:val="24"/>
              </w:rPr>
            </w:pPr>
            <w:sdt>
              <w:sdtPr>
                <w:rPr>
                  <w:rFonts w:cs="Times New Roman"/>
                  <w:szCs w:val="24"/>
                </w:rPr>
                <w:alias w:val="Author Label"/>
                <w:tag w:val="By"/>
                <w:id w:val="72399597"/>
                <w:lock w:val="sdtLocked"/>
                <w:placeholder>
                  <w:docPart w:val="2C73488F87ED47D09E310D573A6EF5E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5DD4F3ED35D427E943F812F64AFDE27"/>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C64F6AC630B14A4AB2D8566E548DBC6F"/>
                </w:placeholder>
                <w:showingPlcHdr/>
              </w:sdtPr>
              <w:sdtContent/>
            </w:sdt>
            <w:sdt>
              <w:sdtPr>
                <w:rPr>
                  <w:rFonts w:cs="Times New Roman"/>
                  <w:szCs w:val="24"/>
                </w:rPr>
                <w:alias w:val="DualSponsor"/>
                <w:tag w:val="DualSponsor"/>
                <w:id w:val="1029379812"/>
                <w:lock w:val="sdtContentLocked"/>
                <w:placeholder>
                  <w:docPart w:val="46AF119EAC04488185B7BD4D1A6BFF84"/>
                </w:placeholder>
                <w:showingPlcHdr/>
              </w:sdtPr>
              <w:sdtContent/>
            </w:sdt>
          </w:p>
        </w:tc>
      </w:tr>
      <w:tr w:rsidR="004008B6" w:rsidTr="000F1DF9">
        <w:tc>
          <w:tcPr>
            <w:tcW w:w="2718" w:type="dxa"/>
          </w:tcPr>
          <w:p w:rsidR="004008B6" w:rsidRPr="00BC7495" w:rsidRDefault="004008B6" w:rsidP="000F1DF9">
            <w:pPr>
              <w:rPr>
                <w:rFonts w:cs="Times New Roman"/>
                <w:szCs w:val="24"/>
              </w:rPr>
            </w:pPr>
          </w:p>
        </w:tc>
        <w:sdt>
          <w:sdtPr>
            <w:rPr>
              <w:rFonts w:cs="Times New Roman"/>
              <w:szCs w:val="24"/>
            </w:rPr>
            <w:alias w:val="Committee"/>
            <w:tag w:val="Committee"/>
            <w:id w:val="1914272295"/>
            <w:lock w:val="sdtContentLocked"/>
            <w:placeholder>
              <w:docPart w:val="C38C929A6D64476CBD43C228201922DC"/>
            </w:placeholder>
          </w:sdtPr>
          <w:sdtContent>
            <w:tc>
              <w:tcPr>
                <w:tcW w:w="6858" w:type="dxa"/>
              </w:tcPr>
              <w:p w:rsidR="004008B6" w:rsidRPr="00FF6471" w:rsidRDefault="004008B6" w:rsidP="000F1DF9">
                <w:pPr>
                  <w:jc w:val="right"/>
                  <w:rPr>
                    <w:rFonts w:cs="Times New Roman"/>
                    <w:szCs w:val="24"/>
                  </w:rPr>
                </w:pPr>
                <w:r>
                  <w:rPr>
                    <w:rFonts w:cs="Times New Roman"/>
                    <w:szCs w:val="24"/>
                  </w:rPr>
                  <w:t>State Affairs</w:t>
                </w:r>
              </w:p>
            </w:tc>
          </w:sdtContent>
        </w:sdt>
      </w:tr>
      <w:tr w:rsidR="004008B6" w:rsidTr="000F1DF9">
        <w:tc>
          <w:tcPr>
            <w:tcW w:w="2718" w:type="dxa"/>
          </w:tcPr>
          <w:p w:rsidR="004008B6" w:rsidRPr="00BC7495" w:rsidRDefault="004008B6" w:rsidP="000F1DF9">
            <w:pPr>
              <w:rPr>
                <w:rFonts w:cs="Times New Roman"/>
                <w:szCs w:val="24"/>
              </w:rPr>
            </w:pPr>
          </w:p>
        </w:tc>
        <w:sdt>
          <w:sdtPr>
            <w:rPr>
              <w:rFonts w:cs="Times New Roman"/>
              <w:szCs w:val="24"/>
            </w:rPr>
            <w:alias w:val="Date"/>
            <w:tag w:val="DateContentControl"/>
            <w:id w:val="1178081906"/>
            <w:lock w:val="sdtLocked"/>
            <w:placeholder>
              <w:docPart w:val="C03399B74D1F496D8A7E48A0FA704F8F"/>
            </w:placeholder>
            <w:date w:fullDate="2025-04-23T00:00:00Z">
              <w:dateFormat w:val="M/d/yyyy"/>
              <w:lid w:val="en-US"/>
              <w:storeMappedDataAs w:val="dateTime"/>
              <w:calendar w:val="gregorian"/>
            </w:date>
          </w:sdtPr>
          <w:sdtContent>
            <w:tc>
              <w:tcPr>
                <w:tcW w:w="6858" w:type="dxa"/>
              </w:tcPr>
              <w:p w:rsidR="004008B6" w:rsidRPr="00FF6471" w:rsidRDefault="004008B6" w:rsidP="000F1DF9">
                <w:pPr>
                  <w:jc w:val="right"/>
                  <w:rPr>
                    <w:rFonts w:cs="Times New Roman"/>
                    <w:szCs w:val="24"/>
                  </w:rPr>
                </w:pPr>
                <w:r>
                  <w:rPr>
                    <w:rFonts w:cs="Times New Roman"/>
                    <w:szCs w:val="24"/>
                  </w:rPr>
                  <w:t>4/23/2025</w:t>
                </w:r>
              </w:p>
            </w:tc>
          </w:sdtContent>
        </w:sdt>
      </w:tr>
      <w:tr w:rsidR="004008B6" w:rsidTr="000F1DF9">
        <w:tc>
          <w:tcPr>
            <w:tcW w:w="2718" w:type="dxa"/>
          </w:tcPr>
          <w:p w:rsidR="004008B6" w:rsidRPr="00BC7495" w:rsidRDefault="004008B6" w:rsidP="000F1DF9">
            <w:pPr>
              <w:rPr>
                <w:rFonts w:cs="Times New Roman"/>
                <w:szCs w:val="24"/>
              </w:rPr>
            </w:pPr>
          </w:p>
        </w:tc>
        <w:sdt>
          <w:sdtPr>
            <w:rPr>
              <w:rFonts w:cs="Times New Roman"/>
              <w:szCs w:val="24"/>
            </w:rPr>
            <w:alias w:val="BA Version"/>
            <w:tag w:val="BAVersion"/>
            <w:id w:val="-1685590809"/>
            <w:lock w:val="sdtContentLocked"/>
            <w:placeholder>
              <w:docPart w:val="D59165A2DFB94944849275706F6AA935"/>
            </w:placeholder>
          </w:sdtPr>
          <w:sdtContent>
            <w:tc>
              <w:tcPr>
                <w:tcW w:w="6858" w:type="dxa"/>
              </w:tcPr>
              <w:p w:rsidR="004008B6" w:rsidRPr="00FF6471" w:rsidRDefault="004008B6" w:rsidP="000F1DF9">
                <w:pPr>
                  <w:jc w:val="right"/>
                  <w:rPr>
                    <w:rFonts w:cs="Times New Roman"/>
                    <w:szCs w:val="24"/>
                  </w:rPr>
                </w:pPr>
                <w:r>
                  <w:rPr>
                    <w:rFonts w:cs="Times New Roman"/>
                    <w:szCs w:val="24"/>
                  </w:rPr>
                  <w:t>Committee Report (Substituted)</w:t>
                </w:r>
              </w:p>
            </w:tc>
          </w:sdtContent>
        </w:sdt>
      </w:tr>
    </w:tbl>
    <w:p w:rsidR="004008B6" w:rsidRPr="00FF6471" w:rsidRDefault="004008B6" w:rsidP="000F1DF9">
      <w:pPr>
        <w:spacing w:after="0" w:line="240" w:lineRule="auto"/>
        <w:rPr>
          <w:rFonts w:cs="Times New Roman"/>
          <w:szCs w:val="24"/>
        </w:rPr>
      </w:pPr>
    </w:p>
    <w:p w:rsidR="004008B6" w:rsidRPr="00FF6471" w:rsidRDefault="004008B6" w:rsidP="000F1DF9">
      <w:pPr>
        <w:spacing w:after="0" w:line="240" w:lineRule="auto"/>
        <w:rPr>
          <w:rFonts w:cs="Times New Roman"/>
          <w:szCs w:val="24"/>
        </w:rPr>
      </w:pPr>
    </w:p>
    <w:p w:rsidR="004008B6" w:rsidRPr="00FF6471" w:rsidRDefault="004008B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81413A135F3457694B9E7B0F3D5F9E4"/>
        </w:placeholder>
      </w:sdtPr>
      <w:sdtContent>
        <w:p w:rsidR="004008B6" w:rsidRDefault="004008B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6777DDBF7E16474584B8CCC592933DCF"/>
        </w:placeholder>
      </w:sdtPr>
      <w:sdtEndPr>
        <w:rPr>
          <w:bCs w:val="0"/>
        </w:rPr>
      </w:sdtEndPr>
      <w:sdtContent>
        <w:p w:rsidR="004008B6" w:rsidRDefault="004008B6" w:rsidP="004008B6">
          <w:pPr>
            <w:pStyle w:val="NormalWeb"/>
            <w:spacing w:before="0" w:beforeAutospacing="0" w:after="0" w:afterAutospacing="0"/>
            <w:jc w:val="both"/>
            <w:divId w:val="1304045679"/>
            <w:rPr>
              <w:rFonts w:eastAsia="Times New Roman"/>
              <w:bCs/>
            </w:rPr>
          </w:pPr>
        </w:p>
        <w:p w:rsidR="004008B6" w:rsidRDefault="004008B6" w:rsidP="004008B6">
          <w:pPr>
            <w:pStyle w:val="NormalWeb"/>
            <w:spacing w:before="0" w:beforeAutospacing="0" w:after="0" w:afterAutospacing="0"/>
            <w:jc w:val="both"/>
            <w:divId w:val="1304045679"/>
            <w:rPr>
              <w:rFonts w:eastAsia="Times New Roman"/>
              <w:bCs/>
            </w:rPr>
          </w:pPr>
          <w:r>
            <w:t>Proxy advisory firms are hired primarily by institutional investors to conduct research about corporate issuers and to make proxy voting recommendations. They do not themselves owe fiduciary duties to shareholders, but they assist institutional investors (who do owe such fiduciary duties) in making voting decisions on the shareholders' behalf and provide services to facilitate the voting process. The two largest proxy advisory firms hold a dominant market share of approximately 97 percent and are owned by foreign (German and Canadian) entities.</w:t>
          </w:r>
        </w:p>
        <w:p w:rsidR="004008B6" w:rsidRDefault="004008B6" w:rsidP="004008B6">
          <w:pPr>
            <w:pStyle w:val="NormalWeb"/>
            <w:spacing w:before="0" w:beforeAutospacing="0" w:after="0" w:afterAutospacing="0"/>
            <w:jc w:val="both"/>
            <w:divId w:val="1304045679"/>
            <w:rPr>
              <w:rFonts w:eastAsia="Times New Roman"/>
              <w:bCs/>
            </w:rPr>
          </w:pPr>
        </w:p>
        <w:p w:rsidR="004008B6" w:rsidRDefault="004008B6" w:rsidP="004008B6">
          <w:pPr>
            <w:pStyle w:val="NormalWeb"/>
            <w:spacing w:before="0" w:beforeAutospacing="0" w:after="0" w:afterAutospacing="0"/>
            <w:jc w:val="both"/>
            <w:divId w:val="1304045679"/>
            <w:rPr>
              <w:rFonts w:eastAsia="Times New Roman"/>
              <w:bCs/>
            </w:rPr>
          </w:pPr>
          <w:r>
            <w:t>Proxy advisory firms (1) provide voting recommendations and other services that often prioritize non-financial factors, such as ESG or DEI-based standards and (2) provide irreconcilably conflicting recommendations (e.g., "yes" and "no") to different clients on the same company or shareholder proposals, both of which necessarily cannot be in the financial interest of the shareholders. The firms justify these practices on the basis that they do not owe fiduciary duties to the shareholders, while ignoring the reality that their clients do (and that they, in turn, owe fiduciary duties to such clients who rely on them).</w:t>
          </w:r>
        </w:p>
        <w:p w:rsidR="004008B6" w:rsidRDefault="004008B6" w:rsidP="004008B6">
          <w:pPr>
            <w:pStyle w:val="NormalWeb"/>
            <w:spacing w:before="0" w:beforeAutospacing="0" w:after="0" w:afterAutospacing="0"/>
            <w:jc w:val="both"/>
            <w:divId w:val="1304045679"/>
            <w:rPr>
              <w:rFonts w:eastAsia="Times New Roman"/>
              <w:bCs/>
            </w:rPr>
          </w:pPr>
        </w:p>
        <w:p w:rsidR="004008B6" w:rsidRDefault="004008B6" w:rsidP="004008B6">
          <w:pPr>
            <w:pStyle w:val="NormalWeb"/>
            <w:spacing w:before="0" w:beforeAutospacing="0" w:after="0" w:afterAutospacing="0"/>
            <w:jc w:val="both"/>
            <w:divId w:val="1304045679"/>
            <w:rPr>
              <w:rFonts w:eastAsia="Times New Roman"/>
              <w:bCs/>
            </w:rPr>
          </w:pPr>
          <w:r>
            <w:t>Proxy advisory firms also issue corporate governance ratings for public companies, use those corporate governance ratings in formulating their voting recommendations for or against a company, and provide consulting services to companies to assist in raising their corporate governance ratings. Conflicts of interest abound at every step.</w:t>
          </w:r>
        </w:p>
        <w:p w:rsidR="004008B6" w:rsidRDefault="004008B6" w:rsidP="004008B6">
          <w:pPr>
            <w:pStyle w:val="NormalWeb"/>
            <w:spacing w:before="0" w:beforeAutospacing="0" w:after="0" w:afterAutospacing="0"/>
            <w:jc w:val="both"/>
            <w:divId w:val="1304045679"/>
            <w:rPr>
              <w:rFonts w:eastAsia="Times New Roman"/>
              <w:bCs/>
            </w:rPr>
          </w:pPr>
        </w:p>
        <w:p w:rsidR="004008B6" w:rsidRDefault="004008B6" w:rsidP="004008B6">
          <w:pPr>
            <w:pStyle w:val="NormalWeb"/>
            <w:spacing w:before="0" w:beforeAutospacing="0" w:after="0" w:afterAutospacing="0"/>
            <w:jc w:val="both"/>
            <w:divId w:val="1304045679"/>
            <w:rPr>
              <w:rFonts w:eastAsia="Times New Roman"/>
              <w:bCs/>
            </w:rPr>
          </w:pPr>
          <w:r>
            <w:t>What does S.B. 2337 do?</w:t>
          </w:r>
        </w:p>
        <w:p w:rsidR="004008B6" w:rsidRDefault="004008B6" w:rsidP="004008B6">
          <w:pPr>
            <w:pStyle w:val="NormalWeb"/>
            <w:spacing w:before="0" w:beforeAutospacing="0" w:after="0" w:afterAutospacing="0"/>
            <w:jc w:val="both"/>
            <w:divId w:val="1304045679"/>
            <w:rPr>
              <w:rFonts w:eastAsia="Times New Roman"/>
              <w:bCs/>
            </w:rPr>
          </w:pPr>
        </w:p>
        <w:p w:rsidR="004008B6" w:rsidRPr="00523F8F" w:rsidRDefault="004008B6" w:rsidP="004008B6">
          <w:pPr>
            <w:pStyle w:val="NormalWeb"/>
            <w:numPr>
              <w:ilvl w:val="0"/>
              <w:numId w:val="1"/>
            </w:numPr>
            <w:spacing w:before="0" w:beforeAutospacing="0" w:after="0" w:afterAutospacing="0"/>
            <w:jc w:val="both"/>
            <w:divId w:val="1304045679"/>
            <w:rPr>
              <w:rFonts w:eastAsia="Times New Roman"/>
              <w:bCs/>
            </w:rPr>
          </w:pPr>
          <w:r>
            <w:t>Helps prevent fraud and deceit by requiring proxy advisory firms to make certain disclosures when their proxy advisory services are based on non-financial factors and/or are in conflict with other proxy advisory services relating to the same company or shareholder proposal.</w:t>
          </w:r>
        </w:p>
        <w:p w:rsidR="004008B6" w:rsidRDefault="004008B6" w:rsidP="004008B6">
          <w:pPr>
            <w:pStyle w:val="NormalWeb"/>
            <w:numPr>
              <w:ilvl w:val="0"/>
              <w:numId w:val="1"/>
            </w:numPr>
            <w:spacing w:after="0"/>
            <w:jc w:val="both"/>
            <w:divId w:val="1304045679"/>
          </w:pPr>
          <w:r>
            <w:t>Required disclosures include to the recipient client(s), to the subject company, to the attorney general, and to the general public.</w:t>
          </w:r>
        </w:p>
        <w:p w:rsidR="004008B6" w:rsidRDefault="004008B6" w:rsidP="004008B6">
          <w:pPr>
            <w:pStyle w:val="NormalWeb"/>
            <w:numPr>
              <w:ilvl w:val="0"/>
              <w:numId w:val="1"/>
            </w:numPr>
            <w:spacing w:after="0"/>
            <w:jc w:val="both"/>
            <w:divId w:val="1304045679"/>
          </w:pPr>
          <w:r>
            <w:t>Allows for enforcement of its provisions by reference to existing DTPA and Declaratory Judgment Act procedures and remedies.</w:t>
          </w:r>
        </w:p>
        <w:p w:rsidR="004008B6" w:rsidRPr="00523F8F" w:rsidRDefault="004008B6" w:rsidP="004008B6">
          <w:pPr>
            <w:pStyle w:val="NormalWeb"/>
            <w:spacing w:after="0"/>
            <w:jc w:val="both"/>
            <w:divId w:val="1304045679"/>
          </w:pPr>
          <w:r>
            <w:t>(Original Author's/Sponsor's Statement of Intent)</w:t>
          </w:r>
        </w:p>
      </w:sdtContent>
    </w:sdt>
    <w:p w:rsidR="004008B6" w:rsidRPr="00523F8F" w:rsidRDefault="004008B6" w:rsidP="004008B6">
      <w:pPr>
        <w:spacing w:after="0" w:line="240" w:lineRule="auto"/>
        <w:jc w:val="both"/>
        <w:rPr>
          <w:rFonts w:cs="Times New Roman"/>
          <w:szCs w:val="24"/>
        </w:rPr>
      </w:pPr>
      <w:bookmarkStart w:id="0" w:name="EnrolledProposed"/>
      <w:bookmarkEnd w:id="0"/>
      <w:r>
        <w:rPr>
          <w:rFonts w:cs="Times New Roman"/>
          <w:szCs w:val="24"/>
        </w:rPr>
        <w:t xml:space="preserve">C.S.S.B. 2337 </w:t>
      </w:r>
      <w:bookmarkStart w:id="1" w:name="AmendsCurrentLaw"/>
      <w:bookmarkEnd w:id="1"/>
      <w:r>
        <w:rPr>
          <w:rFonts w:cs="Times New Roman"/>
          <w:szCs w:val="24"/>
        </w:rPr>
        <w:t xml:space="preserve">amends current law </w:t>
      </w:r>
      <w:r w:rsidRPr="00523F8F">
        <w:rPr>
          <w:rFonts w:cs="Times New Roman"/>
          <w:szCs w:val="24"/>
        </w:rPr>
        <w:t>relating to the regulation of the provision of proxy advisory</w:t>
      </w:r>
      <w:r>
        <w:rPr>
          <w:rFonts w:cs="Times New Roman"/>
          <w:szCs w:val="24"/>
        </w:rPr>
        <w:t xml:space="preserve"> </w:t>
      </w:r>
      <w:r w:rsidRPr="00523F8F">
        <w:rPr>
          <w:rFonts w:cs="Times New Roman"/>
          <w:szCs w:val="24"/>
        </w:rPr>
        <w:t>services</w:t>
      </w:r>
      <w:r>
        <w:rPr>
          <w:rFonts w:cs="Times New Roman"/>
          <w:szCs w:val="24"/>
        </w:rPr>
        <w:t>.</w:t>
      </w:r>
    </w:p>
    <w:p w:rsidR="004008B6" w:rsidRPr="00523F8F" w:rsidRDefault="004008B6" w:rsidP="004008B6">
      <w:pPr>
        <w:spacing w:after="0" w:line="240" w:lineRule="auto"/>
        <w:jc w:val="both"/>
        <w:rPr>
          <w:rFonts w:eastAsia="Times New Roman" w:cs="Times New Roman"/>
          <w:szCs w:val="24"/>
        </w:rPr>
      </w:pPr>
    </w:p>
    <w:p w:rsidR="004008B6" w:rsidRPr="005C2A78" w:rsidRDefault="004008B6" w:rsidP="004008B6">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25E19A9F34D406C9F6CC62CE828D3A8"/>
          </w:placeholder>
        </w:sdtPr>
        <w:sdtContent>
          <w:r>
            <w:rPr>
              <w:rFonts w:eastAsia="Times New Roman" w:cs="Times New Roman"/>
              <w:b/>
              <w:szCs w:val="24"/>
              <w:u w:val="single"/>
            </w:rPr>
            <w:t>RULEMAKING AUTHORITY</w:t>
          </w:r>
        </w:sdtContent>
      </w:sdt>
    </w:p>
    <w:p w:rsidR="004008B6" w:rsidRPr="006529C4" w:rsidRDefault="004008B6" w:rsidP="004008B6">
      <w:pPr>
        <w:spacing w:after="0" w:line="240" w:lineRule="auto"/>
        <w:jc w:val="both"/>
        <w:rPr>
          <w:rFonts w:cs="Times New Roman"/>
          <w:szCs w:val="24"/>
        </w:rPr>
      </w:pPr>
    </w:p>
    <w:p w:rsidR="004008B6" w:rsidRPr="006529C4" w:rsidRDefault="004008B6" w:rsidP="004008B6">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008B6" w:rsidRPr="006529C4" w:rsidRDefault="004008B6" w:rsidP="004008B6">
      <w:pPr>
        <w:spacing w:after="0" w:line="240" w:lineRule="auto"/>
        <w:jc w:val="both"/>
        <w:rPr>
          <w:rFonts w:cs="Times New Roman"/>
          <w:szCs w:val="24"/>
        </w:rPr>
      </w:pPr>
    </w:p>
    <w:p w:rsidR="004008B6" w:rsidRPr="005C2A78" w:rsidRDefault="004008B6" w:rsidP="004008B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9781B1A1327443196B0837E6F1C04BD"/>
          </w:placeholder>
        </w:sdtPr>
        <w:sdtContent>
          <w:r>
            <w:rPr>
              <w:rFonts w:eastAsia="Times New Roman" w:cs="Times New Roman"/>
              <w:b/>
              <w:szCs w:val="24"/>
              <w:u w:val="single"/>
            </w:rPr>
            <w:t>SECTION BY SECTION ANALYSIS</w:t>
          </w:r>
        </w:sdtContent>
      </w:sdt>
    </w:p>
    <w:p w:rsidR="004008B6" w:rsidRPr="005C2A78" w:rsidRDefault="004008B6" w:rsidP="004008B6">
      <w:pPr>
        <w:spacing w:after="0" w:line="240" w:lineRule="auto"/>
        <w:jc w:val="both"/>
        <w:rPr>
          <w:rFonts w:eastAsia="Times New Roman" w:cs="Times New Roman"/>
          <w:szCs w:val="24"/>
        </w:rPr>
      </w:pPr>
    </w:p>
    <w:p w:rsidR="004008B6" w:rsidRDefault="004008B6" w:rsidP="004008B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Provides that the legislature finds that:</w:t>
      </w:r>
    </w:p>
    <w:p w:rsidR="004008B6" w:rsidRDefault="004008B6" w:rsidP="004008B6">
      <w:pPr>
        <w:spacing w:after="0" w:line="240" w:lineRule="auto"/>
        <w:jc w:val="both"/>
        <w:rPr>
          <w:rFonts w:eastAsia="Times New Roman" w:cs="Times New Roman"/>
          <w:szCs w:val="24"/>
        </w:rPr>
      </w:pPr>
    </w:p>
    <w:p w:rsidR="004008B6" w:rsidRDefault="004008B6" w:rsidP="004008B6">
      <w:pPr>
        <w:spacing w:after="0" w:line="240" w:lineRule="auto"/>
        <w:ind w:left="720"/>
        <w:jc w:val="both"/>
        <w:rPr>
          <w:rFonts w:eastAsia="Times New Roman" w:cs="Times New Roman"/>
          <w:szCs w:val="24"/>
        </w:rPr>
      </w:pPr>
      <w:r w:rsidRPr="00523F8F">
        <w:rPr>
          <w:rFonts w:eastAsia="Times New Roman" w:cs="Times New Roman"/>
          <w:szCs w:val="24"/>
        </w:rPr>
        <w:t>(1)</w:t>
      </w:r>
      <w:r>
        <w:rPr>
          <w:rFonts w:eastAsia="Times New Roman" w:cs="Times New Roman"/>
          <w:szCs w:val="24"/>
        </w:rPr>
        <w:t xml:space="preserve"> </w:t>
      </w:r>
      <w:r w:rsidRPr="00523F8F">
        <w:rPr>
          <w:rFonts w:eastAsia="Times New Roman" w:cs="Times New Roman"/>
          <w:szCs w:val="24"/>
        </w:rPr>
        <w:t>when shareholders in this state hire professionals</w:t>
      </w:r>
      <w:r>
        <w:rPr>
          <w:rFonts w:eastAsia="Times New Roman" w:cs="Times New Roman"/>
          <w:szCs w:val="24"/>
        </w:rPr>
        <w:t xml:space="preserve"> </w:t>
      </w:r>
      <w:r w:rsidRPr="00523F8F">
        <w:rPr>
          <w:rFonts w:eastAsia="Times New Roman" w:cs="Times New Roman"/>
          <w:szCs w:val="24"/>
        </w:rPr>
        <w:t>to provide advice in the exercise of their rights as shareholders,</w:t>
      </w:r>
      <w:r>
        <w:rPr>
          <w:rFonts w:eastAsia="Times New Roman" w:cs="Times New Roman"/>
          <w:szCs w:val="24"/>
        </w:rPr>
        <w:t xml:space="preserve"> </w:t>
      </w:r>
      <w:r w:rsidRPr="00523F8F">
        <w:rPr>
          <w:rFonts w:eastAsia="Times New Roman" w:cs="Times New Roman"/>
          <w:szCs w:val="24"/>
        </w:rPr>
        <w:t>the shareholders expect that service to be performed in their</w:t>
      </w:r>
      <w:r>
        <w:rPr>
          <w:rFonts w:eastAsia="Times New Roman" w:cs="Times New Roman"/>
          <w:szCs w:val="24"/>
        </w:rPr>
        <w:t xml:space="preserve"> </w:t>
      </w:r>
      <w:r w:rsidRPr="00523F8F">
        <w:rPr>
          <w:rFonts w:eastAsia="Times New Roman" w:cs="Times New Roman"/>
          <w:szCs w:val="24"/>
        </w:rPr>
        <w:t>financial interest as shareholders, and professionals who are hired</w:t>
      </w:r>
      <w:r>
        <w:rPr>
          <w:rFonts w:eastAsia="Times New Roman" w:cs="Times New Roman"/>
          <w:szCs w:val="24"/>
        </w:rPr>
        <w:t xml:space="preserve"> </w:t>
      </w:r>
      <w:r w:rsidRPr="00523F8F">
        <w:rPr>
          <w:rFonts w:eastAsia="Times New Roman" w:cs="Times New Roman"/>
          <w:szCs w:val="24"/>
        </w:rPr>
        <w:t>by shareholders to</w:t>
      </w:r>
      <w:r>
        <w:rPr>
          <w:rFonts w:eastAsia="Times New Roman" w:cs="Times New Roman"/>
          <w:szCs w:val="24"/>
        </w:rPr>
        <w:t xml:space="preserve"> </w:t>
      </w:r>
      <w:r w:rsidRPr="00523F8F">
        <w:rPr>
          <w:rFonts w:eastAsia="Times New Roman" w:cs="Times New Roman"/>
          <w:szCs w:val="24"/>
        </w:rPr>
        <w:t>provide that service and who deviate from that</w:t>
      </w:r>
      <w:r>
        <w:rPr>
          <w:rFonts w:eastAsia="Times New Roman" w:cs="Times New Roman"/>
          <w:szCs w:val="24"/>
        </w:rPr>
        <w:t xml:space="preserve"> </w:t>
      </w:r>
      <w:r w:rsidRPr="00523F8F">
        <w:rPr>
          <w:rFonts w:eastAsia="Times New Roman" w:cs="Times New Roman"/>
          <w:szCs w:val="24"/>
        </w:rPr>
        <w:t>expectation must clearly disclose that fact;</w:t>
      </w:r>
    </w:p>
    <w:p w:rsidR="004008B6" w:rsidRPr="00523F8F" w:rsidRDefault="004008B6" w:rsidP="004008B6">
      <w:pPr>
        <w:spacing w:after="0" w:line="240" w:lineRule="auto"/>
        <w:ind w:left="720"/>
        <w:jc w:val="both"/>
        <w:rPr>
          <w:rFonts w:eastAsia="Times New Roman" w:cs="Times New Roman"/>
          <w:szCs w:val="24"/>
        </w:rPr>
      </w:pPr>
    </w:p>
    <w:p w:rsidR="004008B6" w:rsidRDefault="004008B6" w:rsidP="004008B6">
      <w:pPr>
        <w:spacing w:after="0" w:line="240" w:lineRule="auto"/>
        <w:ind w:left="720"/>
        <w:jc w:val="both"/>
        <w:rPr>
          <w:rFonts w:eastAsia="Times New Roman" w:cs="Times New Roman"/>
          <w:szCs w:val="24"/>
        </w:rPr>
      </w:pPr>
      <w:r w:rsidRPr="00523F8F">
        <w:rPr>
          <w:rFonts w:eastAsia="Times New Roman" w:cs="Times New Roman"/>
          <w:szCs w:val="24"/>
        </w:rPr>
        <w:t>(2)</w:t>
      </w:r>
      <w:r>
        <w:rPr>
          <w:rFonts w:eastAsia="Times New Roman" w:cs="Times New Roman"/>
          <w:szCs w:val="24"/>
        </w:rPr>
        <w:t xml:space="preserve"> </w:t>
      </w:r>
      <w:r w:rsidRPr="00523F8F">
        <w:rPr>
          <w:rFonts w:eastAsia="Times New Roman" w:cs="Times New Roman"/>
          <w:szCs w:val="24"/>
        </w:rPr>
        <w:t>there is a particular need for disclosures for</w:t>
      </w:r>
      <w:r>
        <w:rPr>
          <w:rFonts w:eastAsia="Times New Roman" w:cs="Times New Roman"/>
          <w:szCs w:val="24"/>
        </w:rPr>
        <w:t xml:space="preserve"> </w:t>
      </w:r>
      <w:r w:rsidRPr="00523F8F">
        <w:rPr>
          <w:rFonts w:eastAsia="Times New Roman" w:cs="Times New Roman"/>
          <w:szCs w:val="24"/>
        </w:rPr>
        <w:t>proxy voting advice because that advice is</w:t>
      </w:r>
      <w:r>
        <w:rPr>
          <w:rFonts w:eastAsia="Times New Roman" w:cs="Times New Roman"/>
          <w:szCs w:val="24"/>
        </w:rPr>
        <w:t xml:space="preserve"> </w:t>
      </w:r>
      <w:r w:rsidRPr="00523F8F">
        <w:rPr>
          <w:rFonts w:eastAsia="Times New Roman" w:cs="Times New Roman"/>
          <w:szCs w:val="24"/>
        </w:rPr>
        <w:t>often</w:t>
      </w:r>
      <w:r>
        <w:rPr>
          <w:rFonts w:eastAsia="Times New Roman" w:cs="Times New Roman"/>
          <w:szCs w:val="24"/>
        </w:rPr>
        <w:t xml:space="preserve"> </w:t>
      </w:r>
      <w:r w:rsidRPr="00523F8F">
        <w:rPr>
          <w:rFonts w:eastAsia="Times New Roman" w:cs="Times New Roman"/>
          <w:szCs w:val="24"/>
        </w:rPr>
        <w:t>provided for hundreds or thousands of</w:t>
      </w:r>
      <w:r>
        <w:rPr>
          <w:rFonts w:eastAsia="Times New Roman" w:cs="Times New Roman"/>
          <w:szCs w:val="24"/>
        </w:rPr>
        <w:t xml:space="preserve"> </w:t>
      </w:r>
      <w:r w:rsidRPr="00523F8F">
        <w:rPr>
          <w:rFonts w:eastAsia="Times New Roman" w:cs="Times New Roman"/>
          <w:szCs w:val="24"/>
        </w:rPr>
        <w:t>shareholder votes each year and</w:t>
      </w:r>
      <w:r>
        <w:rPr>
          <w:rFonts w:eastAsia="Times New Roman" w:cs="Times New Roman"/>
          <w:szCs w:val="24"/>
        </w:rPr>
        <w:t xml:space="preserve"> </w:t>
      </w:r>
      <w:r w:rsidRPr="00523F8F">
        <w:rPr>
          <w:rFonts w:eastAsia="Times New Roman" w:cs="Times New Roman"/>
          <w:szCs w:val="24"/>
        </w:rPr>
        <w:t>based on lengthy policies that contain</w:t>
      </w:r>
      <w:r>
        <w:rPr>
          <w:rFonts w:eastAsia="Times New Roman" w:cs="Times New Roman"/>
          <w:szCs w:val="24"/>
        </w:rPr>
        <w:t xml:space="preserve"> </w:t>
      </w:r>
      <w:r w:rsidRPr="00523F8F">
        <w:rPr>
          <w:rFonts w:eastAsia="Times New Roman" w:cs="Times New Roman"/>
          <w:szCs w:val="24"/>
        </w:rPr>
        <w:t>general statements but do not explain whether or how the policy</w:t>
      </w:r>
      <w:r>
        <w:rPr>
          <w:rFonts w:eastAsia="Times New Roman" w:cs="Times New Roman"/>
          <w:szCs w:val="24"/>
        </w:rPr>
        <w:t xml:space="preserve"> </w:t>
      </w:r>
      <w:r w:rsidRPr="00523F8F">
        <w:rPr>
          <w:rFonts w:eastAsia="Times New Roman" w:cs="Times New Roman"/>
          <w:szCs w:val="24"/>
        </w:rPr>
        <w:t>provisions will maximize returns for investors for any particular</w:t>
      </w:r>
      <w:r>
        <w:rPr>
          <w:rFonts w:eastAsia="Times New Roman" w:cs="Times New Roman"/>
          <w:szCs w:val="24"/>
        </w:rPr>
        <w:t xml:space="preserve"> </w:t>
      </w:r>
      <w:r w:rsidRPr="00523F8F">
        <w:rPr>
          <w:rFonts w:eastAsia="Times New Roman" w:cs="Times New Roman"/>
          <w:szCs w:val="24"/>
        </w:rPr>
        <w:t>company or shareholder vote</w:t>
      </w:r>
      <w:r>
        <w:rPr>
          <w:rFonts w:eastAsia="Times New Roman" w:cs="Times New Roman"/>
          <w:szCs w:val="24"/>
        </w:rPr>
        <w:t xml:space="preserve">; </w:t>
      </w:r>
    </w:p>
    <w:p w:rsidR="004008B6" w:rsidRDefault="004008B6" w:rsidP="004008B6">
      <w:pPr>
        <w:spacing w:after="0" w:line="240" w:lineRule="auto"/>
        <w:ind w:left="720"/>
        <w:jc w:val="both"/>
        <w:rPr>
          <w:rFonts w:eastAsia="Times New Roman" w:cs="Times New Roman"/>
          <w:szCs w:val="24"/>
        </w:rPr>
      </w:pPr>
    </w:p>
    <w:p w:rsidR="004008B6" w:rsidRDefault="004008B6" w:rsidP="004008B6">
      <w:pPr>
        <w:spacing w:after="0" w:line="240" w:lineRule="auto"/>
        <w:ind w:left="720"/>
        <w:jc w:val="both"/>
        <w:rPr>
          <w:rFonts w:eastAsia="Times New Roman" w:cs="Times New Roman"/>
          <w:szCs w:val="24"/>
        </w:rPr>
      </w:pPr>
      <w:r>
        <w:rPr>
          <w:rFonts w:eastAsia="Times New Roman" w:cs="Times New Roman"/>
          <w:szCs w:val="24"/>
        </w:rPr>
        <w:t>(3) proxy advisors:</w:t>
      </w:r>
    </w:p>
    <w:p w:rsidR="004008B6" w:rsidRDefault="004008B6" w:rsidP="004008B6">
      <w:pPr>
        <w:spacing w:after="0" w:line="240" w:lineRule="auto"/>
        <w:ind w:left="720"/>
        <w:jc w:val="both"/>
        <w:rPr>
          <w:rFonts w:eastAsia="Times New Roman" w:cs="Times New Roman"/>
          <w:szCs w:val="24"/>
        </w:rPr>
      </w:pPr>
    </w:p>
    <w:p w:rsidR="004008B6" w:rsidRDefault="004008B6" w:rsidP="004008B6">
      <w:pPr>
        <w:spacing w:after="0" w:line="240" w:lineRule="auto"/>
        <w:ind w:left="1440"/>
        <w:jc w:val="both"/>
        <w:rPr>
          <w:rFonts w:eastAsia="Times New Roman" w:cs="Times New Roman"/>
          <w:szCs w:val="24"/>
        </w:rPr>
      </w:pPr>
      <w:r>
        <w:rPr>
          <w:rFonts w:eastAsia="Times New Roman" w:cs="Times New Roman"/>
          <w:szCs w:val="24"/>
        </w:rPr>
        <w:t xml:space="preserve">(A) have recommended votes based on environmental, social, or governance (ESG) investing, diversity, equity, or inclusion (DEI), and social credit or sustainability scores; and </w:t>
      </w:r>
    </w:p>
    <w:p w:rsidR="004008B6" w:rsidRDefault="004008B6" w:rsidP="004008B6">
      <w:pPr>
        <w:spacing w:after="0" w:line="240" w:lineRule="auto"/>
        <w:ind w:left="1440"/>
        <w:jc w:val="both"/>
        <w:rPr>
          <w:rFonts w:eastAsia="Times New Roman" w:cs="Times New Roman"/>
          <w:szCs w:val="24"/>
        </w:rPr>
      </w:pPr>
    </w:p>
    <w:p w:rsidR="004008B6" w:rsidRDefault="004008B6" w:rsidP="004008B6">
      <w:pPr>
        <w:spacing w:after="0" w:line="240" w:lineRule="auto"/>
        <w:ind w:left="1440"/>
        <w:jc w:val="both"/>
        <w:rPr>
          <w:rFonts w:eastAsia="Times New Roman" w:cs="Times New Roman"/>
          <w:szCs w:val="24"/>
        </w:rPr>
      </w:pPr>
      <w:r>
        <w:rPr>
          <w:rFonts w:eastAsia="Times New Roman" w:cs="Times New Roman"/>
          <w:szCs w:val="24"/>
        </w:rPr>
        <w:t xml:space="preserve">(B) </w:t>
      </w:r>
      <w:r w:rsidRPr="00523F8F">
        <w:rPr>
          <w:rFonts w:eastAsia="Times New Roman" w:cs="Times New Roman"/>
          <w:szCs w:val="24"/>
        </w:rPr>
        <w:t>have not conducted financial analyses before</w:t>
      </w:r>
      <w:r>
        <w:rPr>
          <w:rFonts w:eastAsia="Times New Roman" w:cs="Times New Roman"/>
          <w:szCs w:val="24"/>
        </w:rPr>
        <w:t xml:space="preserve"> </w:t>
      </w:r>
      <w:r w:rsidRPr="00523F8F">
        <w:rPr>
          <w:rFonts w:eastAsia="Times New Roman" w:cs="Times New Roman"/>
          <w:szCs w:val="24"/>
        </w:rPr>
        <w:t>making the recommendations described by Paragraph (A) of this</w:t>
      </w:r>
      <w:r>
        <w:rPr>
          <w:rFonts w:eastAsia="Times New Roman" w:cs="Times New Roman"/>
          <w:szCs w:val="24"/>
        </w:rPr>
        <w:t xml:space="preserve"> </w:t>
      </w:r>
      <w:r w:rsidRPr="00523F8F">
        <w:rPr>
          <w:rFonts w:eastAsia="Times New Roman" w:cs="Times New Roman"/>
          <w:szCs w:val="24"/>
        </w:rPr>
        <w:t>subdivision despite having proxy voting policies claiming that the</w:t>
      </w:r>
      <w:r>
        <w:rPr>
          <w:rFonts w:eastAsia="Times New Roman" w:cs="Times New Roman"/>
          <w:szCs w:val="24"/>
        </w:rPr>
        <w:t xml:space="preserve"> </w:t>
      </w:r>
      <w:r w:rsidRPr="00523F8F">
        <w:rPr>
          <w:rFonts w:eastAsia="Times New Roman" w:cs="Times New Roman"/>
          <w:szCs w:val="24"/>
        </w:rPr>
        <w:t>purpose of the recommendation is maximizing and protecting</w:t>
      </w:r>
      <w:r>
        <w:rPr>
          <w:rFonts w:eastAsia="Times New Roman" w:cs="Times New Roman"/>
          <w:szCs w:val="24"/>
        </w:rPr>
        <w:t xml:space="preserve"> </w:t>
      </w:r>
      <w:r w:rsidRPr="00523F8F">
        <w:rPr>
          <w:rFonts w:eastAsia="Times New Roman" w:cs="Times New Roman"/>
          <w:szCs w:val="24"/>
        </w:rPr>
        <w:t>shareholder value;</w:t>
      </w:r>
    </w:p>
    <w:p w:rsidR="004008B6" w:rsidRDefault="004008B6" w:rsidP="004008B6">
      <w:pPr>
        <w:spacing w:after="0" w:line="240" w:lineRule="auto"/>
        <w:ind w:left="1440"/>
        <w:jc w:val="both"/>
        <w:rPr>
          <w:rFonts w:eastAsia="Times New Roman" w:cs="Times New Roman"/>
          <w:szCs w:val="24"/>
        </w:rPr>
      </w:pPr>
    </w:p>
    <w:p w:rsidR="004008B6" w:rsidRDefault="004008B6" w:rsidP="004008B6">
      <w:pPr>
        <w:spacing w:after="0" w:line="240" w:lineRule="auto"/>
        <w:ind w:left="720"/>
        <w:jc w:val="both"/>
        <w:rPr>
          <w:rFonts w:eastAsia="Times New Roman" w:cs="Times New Roman"/>
          <w:szCs w:val="24"/>
        </w:rPr>
      </w:pPr>
      <w:r w:rsidRPr="00523F8F">
        <w:rPr>
          <w:rFonts w:eastAsia="Times New Roman" w:cs="Times New Roman"/>
          <w:szCs w:val="24"/>
        </w:rPr>
        <w:t>(4)</w:t>
      </w:r>
      <w:r>
        <w:rPr>
          <w:rFonts w:eastAsia="Times New Roman" w:cs="Times New Roman"/>
          <w:szCs w:val="24"/>
        </w:rPr>
        <w:t xml:space="preserve"> </w:t>
      </w:r>
      <w:r w:rsidRPr="00523F8F">
        <w:rPr>
          <w:rFonts w:eastAsia="Times New Roman" w:cs="Times New Roman"/>
          <w:szCs w:val="24"/>
        </w:rPr>
        <w:t>requiring proxy advisors to provide clear, factual</w:t>
      </w:r>
      <w:r>
        <w:rPr>
          <w:rFonts w:eastAsia="Times New Roman" w:cs="Times New Roman"/>
          <w:szCs w:val="24"/>
        </w:rPr>
        <w:t xml:space="preserve"> </w:t>
      </w:r>
      <w:r w:rsidRPr="00523F8F">
        <w:rPr>
          <w:rFonts w:eastAsia="Times New Roman" w:cs="Times New Roman"/>
          <w:szCs w:val="24"/>
        </w:rPr>
        <w:t>disclosures when the advisors recommend casting a vote for</w:t>
      </w:r>
      <w:r>
        <w:rPr>
          <w:rFonts w:eastAsia="Times New Roman" w:cs="Times New Roman"/>
          <w:szCs w:val="24"/>
        </w:rPr>
        <w:t xml:space="preserve"> </w:t>
      </w:r>
      <w:r w:rsidRPr="00523F8F">
        <w:rPr>
          <w:rFonts w:eastAsia="Times New Roman" w:cs="Times New Roman"/>
          <w:szCs w:val="24"/>
        </w:rPr>
        <w:t>nonfinancial reasons or provide conflicting advice to multiple</w:t>
      </w:r>
      <w:r>
        <w:rPr>
          <w:rFonts w:eastAsia="Times New Roman" w:cs="Times New Roman"/>
          <w:szCs w:val="24"/>
        </w:rPr>
        <w:t xml:space="preserve"> </w:t>
      </w:r>
      <w:r w:rsidRPr="00523F8F">
        <w:rPr>
          <w:rFonts w:eastAsia="Times New Roman" w:cs="Times New Roman"/>
          <w:szCs w:val="24"/>
        </w:rPr>
        <w:t>clients who seek to maximize financial returns is necessary in</w:t>
      </w:r>
      <w:r>
        <w:rPr>
          <w:rFonts w:eastAsia="Times New Roman" w:cs="Times New Roman"/>
          <w:szCs w:val="24"/>
        </w:rPr>
        <w:t xml:space="preserve"> </w:t>
      </w:r>
      <w:r w:rsidRPr="00523F8F">
        <w:rPr>
          <w:rFonts w:eastAsia="Times New Roman" w:cs="Times New Roman"/>
          <w:szCs w:val="24"/>
        </w:rPr>
        <w:t>order to prevent fraudulent or deceptive acts and practices in this</w:t>
      </w:r>
      <w:r>
        <w:rPr>
          <w:rFonts w:eastAsia="Times New Roman" w:cs="Times New Roman"/>
          <w:szCs w:val="24"/>
        </w:rPr>
        <w:t xml:space="preserve"> </w:t>
      </w:r>
      <w:r w:rsidRPr="00523F8F">
        <w:rPr>
          <w:rFonts w:eastAsia="Times New Roman" w:cs="Times New Roman"/>
          <w:szCs w:val="24"/>
        </w:rPr>
        <w:t>state; and</w:t>
      </w:r>
    </w:p>
    <w:p w:rsidR="004008B6" w:rsidRPr="00523F8F" w:rsidRDefault="004008B6" w:rsidP="004008B6">
      <w:pPr>
        <w:spacing w:after="0" w:line="240" w:lineRule="auto"/>
        <w:ind w:left="720"/>
        <w:jc w:val="both"/>
        <w:rPr>
          <w:rFonts w:eastAsia="Times New Roman" w:cs="Times New Roman"/>
          <w:szCs w:val="24"/>
        </w:rPr>
      </w:pPr>
    </w:p>
    <w:p w:rsidR="004008B6" w:rsidRPr="005C2A78" w:rsidRDefault="004008B6" w:rsidP="004008B6">
      <w:pPr>
        <w:spacing w:after="0" w:line="240" w:lineRule="auto"/>
        <w:ind w:left="720"/>
        <w:jc w:val="both"/>
        <w:rPr>
          <w:rFonts w:eastAsia="Times New Roman" w:cs="Times New Roman"/>
          <w:szCs w:val="24"/>
        </w:rPr>
      </w:pPr>
      <w:r w:rsidRPr="00523F8F">
        <w:rPr>
          <w:rFonts w:eastAsia="Times New Roman" w:cs="Times New Roman"/>
          <w:szCs w:val="24"/>
        </w:rPr>
        <w:t>(5)</w:t>
      </w:r>
      <w:r>
        <w:rPr>
          <w:rFonts w:eastAsia="Times New Roman" w:cs="Times New Roman"/>
          <w:szCs w:val="24"/>
        </w:rPr>
        <w:t xml:space="preserve"> </w:t>
      </w:r>
      <w:r w:rsidRPr="00523F8F">
        <w:rPr>
          <w:rFonts w:eastAsia="Times New Roman" w:cs="Times New Roman"/>
          <w:szCs w:val="24"/>
        </w:rPr>
        <w:t>a company that is the subject of a shareholder</w:t>
      </w:r>
      <w:r>
        <w:rPr>
          <w:rFonts w:eastAsia="Times New Roman" w:cs="Times New Roman"/>
          <w:szCs w:val="24"/>
        </w:rPr>
        <w:t xml:space="preserve"> </w:t>
      </w:r>
      <w:r w:rsidRPr="00523F8F">
        <w:rPr>
          <w:rFonts w:eastAsia="Times New Roman" w:cs="Times New Roman"/>
          <w:szCs w:val="24"/>
        </w:rPr>
        <w:t>proposal may have information regarding whether the proposal is in</w:t>
      </w:r>
      <w:r>
        <w:rPr>
          <w:rFonts w:eastAsia="Times New Roman" w:cs="Times New Roman"/>
          <w:szCs w:val="24"/>
        </w:rPr>
        <w:t xml:space="preserve"> </w:t>
      </w:r>
      <w:r w:rsidRPr="00523F8F">
        <w:rPr>
          <w:rFonts w:eastAsia="Times New Roman" w:cs="Times New Roman"/>
          <w:szCs w:val="24"/>
        </w:rPr>
        <w:t>the shareholder</w:t>
      </w:r>
      <w:r>
        <w:rPr>
          <w:rFonts w:eastAsia="Times New Roman" w:cs="Times New Roman"/>
          <w:szCs w:val="24"/>
        </w:rPr>
        <w:t>'</w:t>
      </w:r>
      <w:r w:rsidRPr="00523F8F">
        <w:rPr>
          <w:rFonts w:eastAsia="Times New Roman" w:cs="Times New Roman"/>
          <w:szCs w:val="24"/>
        </w:rPr>
        <w:t>s financial interests or regarding the costs of the</w:t>
      </w:r>
      <w:r>
        <w:rPr>
          <w:rFonts w:eastAsia="Times New Roman" w:cs="Times New Roman"/>
          <w:szCs w:val="24"/>
        </w:rPr>
        <w:t xml:space="preserve"> </w:t>
      </w:r>
      <w:r w:rsidRPr="00523F8F">
        <w:rPr>
          <w:rFonts w:eastAsia="Times New Roman" w:cs="Times New Roman"/>
          <w:szCs w:val="24"/>
        </w:rPr>
        <w:t>proposal, and notice would allow the company to provide relevant</w:t>
      </w:r>
      <w:r>
        <w:rPr>
          <w:rFonts w:eastAsia="Times New Roman" w:cs="Times New Roman"/>
          <w:szCs w:val="24"/>
        </w:rPr>
        <w:t xml:space="preserve"> </w:t>
      </w:r>
      <w:r w:rsidRPr="00523F8F">
        <w:rPr>
          <w:rFonts w:eastAsia="Times New Roman" w:cs="Times New Roman"/>
          <w:szCs w:val="24"/>
        </w:rPr>
        <w:t>information to shareholders that may prevent fraudulent or</w:t>
      </w:r>
      <w:r>
        <w:rPr>
          <w:rFonts w:eastAsia="Times New Roman" w:cs="Times New Roman"/>
          <w:szCs w:val="24"/>
        </w:rPr>
        <w:t xml:space="preserve"> </w:t>
      </w:r>
      <w:r w:rsidRPr="00523F8F">
        <w:rPr>
          <w:rFonts w:eastAsia="Times New Roman" w:cs="Times New Roman"/>
          <w:szCs w:val="24"/>
        </w:rPr>
        <w:t>deceptive practices associated with proxy advisors making</w:t>
      </w:r>
      <w:r>
        <w:rPr>
          <w:rFonts w:eastAsia="Times New Roman" w:cs="Times New Roman"/>
          <w:szCs w:val="24"/>
        </w:rPr>
        <w:t xml:space="preserve"> </w:t>
      </w:r>
      <w:r w:rsidRPr="00523F8F">
        <w:rPr>
          <w:rFonts w:eastAsia="Times New Roman" w:cs="Times New Roman"/>
          <w:szCs w:val="24"/>
        </w:rPr>
        <w:t>recommendations for nonfinancial reasons.</w:t>
      </w:r>
    </w:p>
    <w:p w:rsidR="004008B6" w:rsidRPr="005C2A78" w:rsidRDefault="004008B6" w:rsidP="004008B6">
      <w:pPr>
        <w:spacing w:after="0" w:line="240" w:lineRule="auto"/>
        <w:jc w:val="both"/>
        <w:rPr>
          <w:rFonts w:eastAsia="Times New Roman" w:cs="Times New Roman"/>
          <w:szCs w:val="24"/>
        </w:rPr>
      </w:pPr>
    </w:p>
    <w:p w:rsidR="004008B6" w:rsidRDefault="004008B6" w:rsidP="004008B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Title 1, Business Organizations Code, by adding Chapter 6A, as follows:</w:t>
      </w:r>
    </w:p>
    <w:p w:rsidR="004008B6" w:rsidRDefault="004008B6" w:rsidP="004008B6">
      <w:pPr>
        <w:spacing w:after="0" w:line="240" w:lineRule="auto"/>
        <w:jc w:val="both"/>
        <w:rPr>
          <w:rFonts w:eastAsia="Times New Roman" w:cs="Times New Roman"/>
          <w:szCs w:val="24"/>
        </w:rPr>
      </w:pPr>
    </w:p>
    <w:p w:rsidR="004008B6" w:rsidRDefault="004008B6" w:rsidP="004008B6">
      <w:pPr>
        <w:spacing w:after="0" w:line="240" w:lineRule="auto"/>
        <w:jc w:val="center"/>
        <w:rPr>
          <w:rFonts w:eastAsia="Times New Roman" w:cs="Times New Roman"/>
          <w:szCs w:val="24"/>
        </w:rPr>
      </w:pPr>
      <w:r>
        <w:rPr>
          <w:rFonts w:eastAsia="Times New Roman" w:cs="Times New Roman"/>
          <w:szCs w:val="24"/>
        </w:rPr>
        <w:t>CHAPTER 6A. PROXY ADVISORY SERVICES</w:t>
      </w:r>
    </w:p>
    <w:p w:rsidR="004008B6" w:rsidRDefault="004008B6" w:rsidP="004008B6">
      <w:pPr>
        <w:spacing w:after="0" w:line="240" w:lineRule="auto"/>
        <w:jc w:val="center"/>
        <w:rPr>
          <w:rFonts w:eastAsia="Times New Roman" w:cs="Times New Roman"/>
          <w:szCs w:val="24"/>
        </w:rPr>
      </w:pPr>
    </w:p>
    <w:p w:rsidR="004008B6" w:rsidRDefault="004008B6" w:rsidP="004008B6">
      <w:pPr>
        <w:spacing w:after="0" w:line="240" w:lineRule="auto"/>
        <w:jc w:val="center"/>
        <w:rPr>
          <w:rFonts w:eastAsia="Times New Roman" w:cs="Times New Roman"/>
          <w:szCs w:val="24"/>
        </w:rPr>
      </w:pPr>
      <w:r>
        <w:rPr>
          <w:rFonts w:eastAsia="Times New Roman" w:cs="Times New Roman"/>
          <w:szCs w:val="24"/>
        </w:rPr>
        <w:t>SUBCHAPTER A. GENERAL PROVISIONS</w:t>
      </w:r>
    </w:p>
    <w:p w:rsidR="004008B6" w:rsidRDefault="004008B6" w:rsidP="004008B6">
      <w:pPr>
        <w:spacing w:after="0" w:line="240" w:lineRule="auto"/>
        <w:jc w:val="center"/>
        <w:rPr>
          <w:rFonts w:eastAsia="Times New Roman" w:cs="Times New Roman"/>
          <w:szCs w:val="24"/>
        </w:rPr>
      </w:pPr>
    </w:p>
    <w:p w:rsidR="004008B6" w:rsidRDefault="004008B6" w:rsidP="004008B6">
      <w:pPr>
        <w:spacing w:after="0" w:line="240" w:lineRule="auto"/>
        <w:ind w:left="720"/>
        <w:jc w:val="both"/>
        <w:rPr>
          <w:rFonts w:eastAsia="Times New Roman" w:cs="Times New Roman"/>
          <w:szCs w:val="24"/>
        </w:rPr>
      </w:pPr>
      <w:r>
        <w:rPr>
          <w:rFonts w:eastAsia="Times New Roman" w:cs="Times New Roman"/>
          <w:szCs w:val="24"/>
        </w:rPr>
        <w:t>Sec. 6A.001. DEFINITIONS. Defines "company," "company proposal," "proxy advisor," "proxy advisory service," "proxy proposal," and "shareholder."</w:t>
      </w:r>
    </w:p>
    <w:p w:rsidR="004008B6" w:rsidRDefault="004008B6" w:rsidP="004008B6">
      <w:pPr>
        <w:spacing w:after="0" w:line="240" w:lineRule="auto"/>
        <w:ind w:left="720"/>
        <w:jc w:val="both"/>
        <w:rPr>
          <w:rFonts w:eastAsia="Times New Roman" w:cs="Times New Roman"/>
          <w:szCs w:val="24"/>
        </w:rPr>
      </w:pPr>
    </w:p>
    <w:p w:rsidR="004008B6" w:rsidRDefault="004008B6" w:rsidP="004008B6">
      <w:pPr>
        <w:spacing w:after="0" w:line="240" w:lineRule="auto"/>
        <w:jc w:val="center"/>
        <w:rPr>
          <w:rFonts w:eastAsia="Times New Roman" w:cs="Times New Roman"/>
          <w:szCs w:val="24"/>
        </w:rPr>
      </w:pPr>
      <w:r>
        <w:rPr>
          <w:rFonts w:eastAsia="Times New Roman" w:cs="Times New Roman"/>
          <w:szCs w:val="24"/>
        </w:rPr>
        <w:t>SUBCHAPTER B. DISCLOSURE REQUIREMENTS FOR PROXY ADVISORS</w:t>
      </w:r>
    </w:p>
    <w:p w:rsidR="004008B6" w:rsidRDefault="004008B6" w:rsidP="004008B6">
      <w:pPr>
        <w:spacing w:after="0" w:line="240" w:lineRule="auto"/>
        <w:jc w:val="center"/>
        <w:rPr>
          <w:rFonts w:eastAsia="Times New Roman" w:cs="Times New Roman"/>
          <w:szCs w:val="24"/>
        </w:rPr>
      </w:pPr>
    </w:p>
    <w:p w:rsidR="004008B6" w:rsidRDefault="004008B6" w:rsidP="004008B6">
      <w:pPr>
        <w:spacing w:after="0" w:line="240" w:lineRule="auto"/>
        <w:ind w:left="720"/>
        <w:jc w:val="both"/>
        <w:rPr>
          <w:rFonts w:eastAsia="Times New Roman" w:cs="Times New Roman"/>
          <w:szCs w:val="24"/>
        </w:rPr>
      </w:pPr>
      <w:r>
        <w:rPr>
          <w:rFonts w:eastAsia="Times New Roman" w:cs="Times New Roman"/>
          <w:szCs w:val="24"/>
        </w:rPr>
        <w:t xml:space="preserve">Sec. 6A.101. DISCLOSURE OF NONFINANCIAL PROXY VOTING SERVICES TO PREVENT FRAUD OR DECEIT. (a) Provides that, for purposes of this section, a proxy advisory service is not provided solely in the financial interest of the shareholders of a company if the service is wholly or partly based on one or more nonfinancial factors, including a commitment, initiative, policy, target, or subjective or value-based standard based on certain nonfinancial principles and factors. </w:t>
      </w:r>
    </w:p>
    <w:p w:rsidR="004008B6" w:rsidRDefault="004008B6" w:rsidP="004008B6">
      <w:pPr>
        <w:spacing w:after="0" w:line="240" w:lineRule="auto"/>
        <w:ind w:left="720"/>
        <w:jc w:val="both"/>
        <w:rPr>
          <w:rFonts w:eastAsia="Times New Roman" w:cs="Times New Roman"/>
          <w:szCs w:val="24"/>
        </w:rPr>
      </w:pPr>
    </w:p>
    <w:p w:rsidR="004008B6" w:rsidRDefault="004008B6" w:rsidP="004008B6">
      <w:pPr>
        <w:spacing w:after="0" w:line="240" w:lineRule="auto"/>
        <w:ind w:left="1440"/>
        <w:jc w:val="both"/>
        <w:rPr>
          <w:rFonts w:eastAsia="Times New Roman" w:cs="Times New Roman"/>
          <w:szCs w:val="24"/>
        </w:rPr>
      </w:pPr>
      <w:r>
        <w:rPr>
          <w:rFonts w:eastAsia="Times New Roman" w:cs="Times New Roman"/>
          <w:szCs w:val="24"/>
        </w:rPr>
        <w:t xml:space="preserve">(b) Requires a proxy advisor, if the advisor provides a proxy advisory service that is not provided solely in the financial interest of the shareholders of a company, to take certain actions. </w:t>
      </w:r>
    </w:p>
    <w:p w:rsidR="004008B6" w:rsidRDefault="004008B6" w:rsidP="004008B6">
      <w:pPr>
        <w:spacing w:after="0" w:line="240" w:lineRule="auto"/>
        <w:ind w:left="1440"/>
        <w:jc w:val="both"/>
        <w:rPr>
          <w:rFonts w:eastAsia="Times New Roman" w:cs="Times New Roman"/>
          <w:szCs w:val="24"/>
        </w:rPr>
      </w:pPr>
    </w:p>
    <w:p w:rsidR="004008B6" w:rsidRDefault="004008B6" w:rsidP="004008B6">
      <w:pPr>
        <w:spacing w:after="0" w:line="240" w:lineRule="auto"/>
        <w:ind w:left="720"/>
        <w:jc w:val="both"/>
        <w:rPr>
          <w:rFonts w:eastAsia="Times New Roman" w:cs="Times New Roman"/>
          <w:szCs w:val="24"/>
        </w:rPr>
      </w:pPr>
      <w:r>
        <w:rPr>
          <w:rFonts w:eastAsia="Times New Roman" w:cs="Times New Roman"/>
          <w:szCs w:val="24"/>
        </w:rPr>
        <w:t>Sec. 6A.102. DISCLOSURES IF PROVIDING CONFLICTING VOTER ADVICE OR RECOMMENDATIONS. (a) Defines "materially different."</w:t>
      </w:r>
    </w:p>
    <w:p w:rsidR="004008B6" w:rsidRDefault="004008B6" w:rsidP="004008B6">
      <w:pPr>
        <w:spacing w:after="0" w:line="240" w:lineRule="auto"/>
        <w:ind w:left="720"/>
        <w:jc w:val="both"/>
        <w:rPr>
          <w:rFonts w:eastAsia="Times New Roman" w:cs="Times New Roman"/>
          <w:szCs w:val="24"/>
        </w:rPr>
      </w:pPr>
    </w:p>
    <w:p w:rsidR="004008B6" w:rsidRDefault="004008B6" w:rsidP="004008B6">
      <w:pPr>
        <w:spacing w:after="0" w:line="240" w:lineRule="auto"/>
        <w:ind w:left="1440"/>
        <w:jc w:val="both"/>
        <w:rPr>
          <w:rFonts w:eastAsia="Times New Roman" w:cs="Times New Roman"/>
          <w:szCs w:val="24"/>
        </w:rPr>
      </w:pPr>
      <w:r>
        <w:rPr>
          <w:rFonts w:eastAsia="Times New Roman" w:cs="Times New Roman"/>
          <w:szCs w:val="24"/>
        </w:rPr>
        <w:t xml:space="preserve">(b) Requires a proxy advisor, if the proxy advisor provides to different clients who have not expressly requested services for a nonfinancial purpose either advice or a recommendation on how to vote on a proxy or company proposal that is materially different, to take certain actions. </w:t>
      </w:r>
    </w:p>
    <w:p w:rsidR="004008B6" w:rsidRDefault="004008B6" w:rsidP="004008B6">
      <w:pPr>
        <w:spacing w:after="0" w:line="240" w:lineRule="auto"/>
        <w:ind w:left="1440"/>
        <w:jc w:val="both"/>
        <w:rPr>
          <w:rFonts w:eastAsia="Times New Roman" w:cs="Times New Roman"/>
          <w:szCs w:val="24"/>
        </w:rPr>
      </w:pPr>
    </w:p>
    <w:p w:rsidR="004008B6" w:rsidRDefault="004008B6" w:rsidP="004008B6">
      <w:pPr>
        <w:spacing w:after="0" w:line="240" w:lineRule="auto"/>
        <w:jc w:val="center"/>
        <w:rPr>
          <w:rFonts w:eastAsia="Times New Roman" w:cs="Times New Roman"/>
          <w:szCs w:val="24"/>
        </w:rPr>
      </w:pPr>
      <w:r>
        <w:rPr>
          <w:rFonts w:eastAsia="Times New Roman" w:cs="Times New Roman"/>
          <w:szCs w:val="24"/>
        </w:rPr>
        <w:t>SUBCHAPTER C. ENFORCEMENT</w:t>
      </w:r>
    </w:p>
    <w:p w:rsidR="004008B6" w:rsidRDefault="004008B6" w:rsidP="004008B6">
      <w:pPr>
        <w:spacing w:after="0" w:line="240" w:lineRule="auto"/>
        <w:jc w:val="center"/>
        <w:rPr>
          <w:rFonts w:eastAsia="Times New Roman" w:cs="Times New Roman"/>
          <w:szCs w:val="24"/>
        </w:rPr>
      </w:pPr>
    </w:p>
    <w:p w:rsidR="004008B6" w:rsidRDefault="004008B6" w:rsidP="004008B6">
      <w:pPr>
        <w:spacing w:after="0" w:line="240" w:lineRule="auto"/>
        <w:ind w:left="720"/>
        <w:jc w:val="both"/>
        <w:rPr>
          <w:rFonts w:eastAsia="Times New Roman" w:cs="Times New Roman"/>
          <w:szCs w:val="24"/>
        </w:rPr>
      </w:pPr>
      <w:r>
        <w:rPr>
          <w:rFonts w:eastAsia="Times New Roman" w:cs="Times New Roman"/>
          <w:szCs w:val="24"/>
        </w:rPr>
        <w:t xml:space="preserve">Sec. 6A.201. DECEPTIVE TRADE PRACTICE. Provides that a violation of this chapter is a deceptive trade practice under Subchapter E (Deceptive Trade Practices and Consumer Protections), Chapter 17 (Deceptive Trade Practices), Business and Commerce Code, and is actionable under Section 17.47 (Restraining Orders) of that code. </w:t>
      </w:r>
    </w:p>
    <w:p w:rsidR="004008B6" w:rsidRDefault="004008B6" w:rsidP="004008B6">
      <w:pPr>
        <w:spacing w:after="0" w:line="240" w:lineRule="auto"/>
        <w:ind w:left="720"/>
        <w:jc w:val="both"/>
        <w:rPr>
          <w:rFonts w:eastAsia="Times New Roman" w:cs="Times New Roman"/>
          <w:szCs w:val="24"/>
        </w:rPr>
      </w:pPr>
    </w:p>
    <w:p w:rsidR="004008B6" w:rsidRDefault="004008B6" w:rsidP="004008B6">
      <w:pPr>
        <w:spacing w:after="0" w:line="240" w:lineRule="auto"/>
        <w:ind w:left="720"/>
        <w:jc w:val="both"/>
        <w:rPr>
          <w:rFonts w:eastAsia="Times New Roman" w:cs="Times New Roman"/>
          <w:szCs w:val="24"/>
        </w:rPr>
      </w:pPr>
      <w:r>
        <w:rPr>
          <w:rFonts w:eastAsia="Times New Roman" w:cs="Times New Roman"/>
          <w:szCs w:val="24"/>
        </w:rPr>
        <w:t>Sec. 6A.202. DECLARATORY JUDGMENT OR INJUNCTIVE RELIEF. (a) Defines "affected party."</w:t>
      </w:r>
    </w:p>
    <w:p w:rsidR="004008B6" w:rsidRDefault="004008B6" w:rsidP="004008B6">
      <w:pPr>
        <w:spacing w:after="0" w:line="240" w:lineRule="auto"/>
        <w:ind w:left="720"/>
        <w:jc w:val="both"/>
        <w:rPr>
          <w:rFonts w:eastAsia="Times New Roman" w:cs="Times New Roman"/>
          <w:szCs w:val="24"/>
        </w:rPr>
      </w:pPr>
    </w:p>
    <w:p w:rsidR="004008B6" w:rsidRPr="005C2A78" w:rsidRDefault="004008B6" w:rsidP="004008B6">
      <w:pPr>
        <w:spacing w:after="0" w:line="240" w:lineRule="auto"/>
        <w:ind w:left="1440"/>
        <w:jc w:val="both"/>
        <w:rPr>
          <w:rFonts w:eastAsia="Times New Roman" w:cs="Times New Roman"/>
          <w:szCs w:val="24"/>
        </w:rPr>
      </w:pPr>
      <w:r>
        <w:rPr>
          <w:rFonts w:eastAsia="Times New Roman" w:cs="Times New Roman"/>
          <w:szCs w:val="24"/>
        </w:rPr>
        <w:t xml:space="preserve">(b) Authorizes an affected party to bring an action seeking a declaratory judgment or injunctive relief under Chapter 37 (Declaratory Judgments), Civil Practice and Remedies Code, against a proxy advisor who violates this chapter. Requires the plaintiff, not later than the seventh day after the date on which an action is brought under this subsection, to provide notice to the attorney general, who is authorized to intervene in the action. </w:t>
      </w:r>
    </w:p>
    <w:p w:rsidR="004008B6" w:rsidRPr="005C2A78" w:rsidRDefault="004008B6" w:rsidP="004008B6">
      <w:pPr>
        <w:spacing w:after="0" w:line="240" w:lineRule="auto"/>
        <w:jc w:val="both"/>
        <w:rPr>
          <w:rFonts w:eastAsia="Times New Roman" w:cs="Times New Roman"/>
          <w:szCs w:val="24"/>
        </w:rPr>
      </w:pPr>
    </w:p>
    <w:p w:rsidR="004008B6" w:rsidRDefault="004008B6" w:rsidP="004008B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this Act prospective. </w:t>
      </w:r>
    </w:p>
    <w:p w:rsidR="004008B6" w:rsidRDefault="004008B6" w:rsidP="004008B6">
      <w:pPr>
        <w:spacing w:after="0" w:line="240" w:lineRule="auto"/>
        <w:jc w:val="both"/>
        <w:rPr>
          <w:rFonts w:eastAsia="Times New Roman" w:cs="Times New Roman"/>
          <w:szCs w:val="24"/>
        </w:rPr>
      </w:pPr>
    </w:p>
    <w:p w:rsidR="004008B6" w:rsidRPr="00C8671F" w:rsidRDefault="004008B6" w:rsidP="004008B6">
      <w:pPr>
        <w:spacing w:after="0" w:line="240" w:lineRule="auto"/>
        <w:jc w:val="both"/>
        <w:rPr>
          <w:rFonts w:eastAsia="Times New Roman" w:cs="Times New Roman"/>
          <w:szCs w:val="24"/>
        </w:rPr>
      </w:pPr>
      <w:r>
        <w:rPr>
          <w:rFonts w:eastAsia="Times New Roman" w:cs="Times New Roman"/>
          <w:szCs w:val="24"/>
        </w:rPr>
        <w:t xml:space="preserve">SECTION 4. Effective date: July 1, 2025, or September 1, 2025. </w:t>
      </w:r>
    </w:p>
    <w:sectPr w:rsidR="004008B6"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6528" w:rsidRDefault="00F56528" w:rsidP="000F1DF9">
      <w:pPr>
        <w:spacing w:after="0" w:line="240" w:lineRule="auto"/>
      </w:pPr>
      <w:r>
        <w:separator/>
      </w:r>
    </w:p>
  </w:endnote>
  <w:endnote w:type="continuationSeparator" w:id="0">
    <w:p w:rsidR="00F56528" w:rsidRDefault="00F5652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5652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008B6">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008B6">
                <w:rPr>
                  <w:sz w:val="20"/>
                  <w:szCs w:val="20"/>
                </w:rPr>
                <w:t>C.S.S.B. 2337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008B6">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5652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6528" w:rsidRDefault="00F56528" w:rsidP="000F1DF9">
      <w:pPr>
        <w:spacing w:after="0" w:line="240" w:lineRule="auto"/>
      </w:pPr>
      <w:r>
        <w:separator/>
      </w:r>
    </w:p>
  </w:footnote>
  <w:footnote w:type="continuationSeparator" w:id="0">
    <w:p w:rsidR="00F56528" w:rsidRDefault="00F5652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44617"/>
    <w:multiLevelType w:val="hybridMultilevel"/>
    <w:tmpl w:val="B1D4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6379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08B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537DF"/>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33988"/>
    <w:rsid w:val="00F56528"/>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B64AB"/>
  <w15:docId w15:val="{C0C10758-5A6A-4E44-9566-FC42B2FA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4008B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04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57C6735E07F4DCB9F68FB8927127769"/>
        <w:category>
          <w:name w:val="General"/>
          <w:gallery w:val="placeholder"/>
        </w:category>
        <w:types>
          <w:type w:val="bbPlcHdr"/>
        </w:types>
        <w:behaviors>
          <w:behavior w:val="content"/>
        </w:behaviors>
        <w:guid w:val="{856F1FF2-AEB0-4A9B-B348-F9FE45CFC7E5}"/>
      </w:docPartPr>
      <w:docPartBody>
        <w:p w:rsidR="00E15DC1" w:rsidRDefault="00E15DC1"/>
      </w:docPartBody>
    </w:docPart>
    <w:docPart>
      <w:docPartPr>
        <w:name w:val="E20DE934F7664A689620AC967D05EFC9"/>
        <w:category>
          <w:name w:val="General"/>
          <w:gallery w:val="placeholder"/>
        </w:category>
        <w:types>
          <w:type w:val="bbPlcHdr"/>
        </w:types>
        <w:behaviors>
          <w:behavior w:val="content"/>
        </w:behaviors>
        <w:guid w:val="{F7B71D85-1EEE-4866-983F-53D93F71485E}"/>
      </w:docPartPr>
      <w:docPartBody>
        <w:p w:rsidR="00E15DC1" w:rsidRDefault="00E15DC1"/>
      </w:docPartBody>
    </w:docPart>
    <w:docPart>
      <w:docPartPr>
        <w:name w:val="4B795B9E8DE649ADB289A6BE9F339933"/>
        <w:category>
          <w:name w:val="General"/>
          <w:gallery w:val="placeholder"/>
        </w:category>
        <w:types>
          <w:type w:val="bbPlcHdr"/>
        </w:types>
        <w:behaviors>
          <w:behavior w:val="content"/>
        </w:behaviors>
        <w:guid w:val="{9AC3187A-A350-4D6A-A729-1C62BBD4F081}"/>
      </w:docPartPr>
      <w:docPartBody>
        <w:p w:rsidR="00E15DC1" w:rsidRDefault="00E15DC1"/>
      </w:docPartBody>
    </w:docPart>
    <w:docPart>
      <w:docPartPr>
        <w:name w:val="8EE78AA2FF504761AE06118A9F65E83F"/>
        <w:category>
          <w:name w:val="General"/>
          <w:gallery w:val="placeholder"/>
        </w:category>
        <w:types>
          <w:type w:val="bbPlcHdr"/>
        </w:types>
        <w:behaviors>
          <w:behavior w:val="content"/>
        </w:behaviors>
        <w:guid w:val="{5144EEC1-42A4-4CF0-8591-B56367CED705}"/>
      </w:docPartPr>
      <w:docPartBody>
        <w:p w:rsidR="00E15DC1" w:rsidRDefault="00E15DC1"/>
      </w:docPartBody>
    </w:docPart>
    <w:docPart>
      <w:docPartPr>
        <w:name w:val="2C73488F87ED47D09E310D573A6EF5E6"/>
        <w:category>
          <w:name w:val="General"/>
          <w:gallery w:val="placeholder"/>
        </w:category>
        <w:types>
          <w:type w:val="bbPlcHdr"/>
        </w:types>
        <w:behaviors>
          <w:behavior w:val="content"/>
        </w:behaviors>
        <w:guid w:val="{CBAC6209-739D-4280-9FA9-5E01F41ADF9C}"/>
      </w:docPartPr>
      <w:docPartBody>
        <w:p w:rsidR="00E15DC1" w:rsidRDefault="00E15DC1"/>
      </w:docPartBody>
    </w:docPart>
    <w:docPart>
      <w:docPartPr>
        <w:name w:val="C5DD4F3ED35D427E943F812F64AFDE27"/>
        <w:category>
          <w:name w:val="General"/>
          <w:gallery w:val="placeholder"/>
        </w:category>
        <w:types>
          <w:type w:val="bbPlcHdr"/>
        </w:types>
        <w:behaviors>
          <w:behavior w:val="content"/>
        </w:behaviors>
        <w:guid w:val="{C6F71841-5BB1-4DC8-A65B-CB296BB07BAD}"/>
      </w:docPartPr>
      <w:docPartBody>
        <w:p w:rsidR="00E15DC1" w:rsidRDefault="00E15DC1"/>
      </w:docPartBody>
    </w:docPart>
    <w:docPart>
      <w:docPartPr>
        <w:name w:val="C64F6AC630B14A4AB2D8566E548DBC6F"/>
        <w:category>
          <w:name w:val="General"/>
          <w:gallery w:val="placeholder"/>
        </w:category>
        <w:types>
          <w:type w:val="bbPlcHdr"/>
        </w:types>
        <w:behaviors>
          <w:behavior w:val="content"/>
        </w:behaviors>
        <w:guid w:val="{15D03177-81EE-4D36-B41C-51EE43A85B80}"/>
      </w:docPartPr>
      <w:docPartBody>
        <w:p w:rsidR="00E15DC1" w:rsidRDefault="00E15DC1"/>
      </w:docPartBody>
    </w:docPart>
    <w:docPart>
      <w:docPartPr>
        <w:name w:val="46AF119EAC04488185B7BD4D1A6BFF84"/>
        <w:category>
          <w:name w:val="General"/>
          <w:gallery w:val="placeholder"/>
        </w:category>
        <w:types>
          <w:type w:val="bbPlcHdr"/>
        </w:types>
        <w:behaviors>
          <w:behavior w:val="content"/>
        </w:behaviors>
        <w:guid w:val="{35DFD2C7-F7AA-4298-84F2-93C38DC4C743}"/>
      </w:docPartPr>
      <w:docPartBody>
        <w:p w:rsidR="00E15DC1" w:rsidRDefault="00E15DC1"/>
      </w:docPartBody>
    </w:docPart>
    <w:docPart>
      <w:docPartPr>
        <w:name w:val="C38C929A6D64476CBD43C228201922DC"/>
        <w:category>
          <w:name w:val="General"/>
          <w:gallery w:val="placeholder"/>
        </w:category>
        <w:types>
          <w:type w:val="bbPlcHdr"/>
        </w:types>
        <w:behaviors>
          <w:behavior w:val="content"/>
        </w:behaviors>
        <w:guid w:val="{358777CC-D853-4CD9-8B5C-18098F00082A}"/>
      </w:docPartPr>
      <w:docPartBody>
        <w:p w:rsidR="00E15DC1" w:rsidRDefault="00E15DC1"/>
      </w:docPartBody>
    </w:docPart>
    <w:docPart>
      <w:docPartPr>
        <w:name w:val="C03399B74D1F496D8A7E48A0FA704F8F"/>
        <w:category>
          <w:name w:val="General"/>
          <w:gallery w:val="placeholder"/>
        </w:category>
        <w:types>
          <w:type w:val="bbPlcHdr"/>
        </w:types>
        <w:behaviors>
          <w:behavior w:val="content"/>
        </w:behaviors>
        <w:guid w:val="{E08A46C2-1906-4104-8FE4-8AC973B3D41E}"/>
      </w:docPartPr>
      <w:docPartBody>
        <w:p w:rsidR="00E15DC1" w:rsidRDefault="004C12D4" w:rsidP="004C12D4">
          <w:pPr>
            <w:pStyle w:val="C03399B74D1F496D8A7E48A0FA704F8F"/>
          </w:pPr>
          <w:r w:rsidRPr="00A30DD1">
            <w:rPr>
              <w:rStyle w:val="PlaceholderText"/>
            </w:rPr>
            <w:t>Click here to enter a date.</w:t>
          </w:r>
        </w:p>
      </w:docPartBody>
    </w:docPart>
    <w:docPart>
      <w:docPartPr>
        <w:name w:val="D59165A2DFB94944849275706F6AA935"/>
        <w:category>
          <w:name w:val="General"/>
          <w:gallery w:val="placeholder"/>
        </w:category>
        <w:types>
          <w:type w:val="bbPlcHdr"/>
        </w:types>
        <w:behaviors>
          <w:behavior w:val="content"/>
        </w:behaviors>
        <w:guid w:val="{0C1E7CC7-C2D8-43A1-AC98-6D7362C6FB8C}"/>
      </w:docPartPr>
      <w:docPartBody>
        <w:p w:rsidR="00E15DC1" w:rsidRDefault="00E15DC1"/>
      </w:docPartBody>
    </w:docPart>
    <w:docPart>
      <w:docPartPr>
        <w:name w:val="481413A135F3457694B9E7B0F3D5F9E4"/>
        <w:category>
          <w:name w:val="General"/>
          <w:gallery w:val="placeholder"/>
        </w:category>
        <w:types>
          <w:type w:val="bbPlcHdr"/>
        </w:types>
        <w:behaviors>
          <w:behavior w:val="content"/>
        </w:behaviors>
        <w:guid w:val="{C3BC9FDC-A124-40E1-B92B-06C15458B42E}"/>
      </w:docPartPr>
      <w:docPartBody>
        <w:p w:rsidR="00E15DC1" w:rsidRDefault="00E15DC1"/>
      </w:docPartBody>
    </w:docPart>
    <w:docPart>
      <w:docPartPr>
        <w:name w:val="6777DDBF7E16474584B8CCC592933DCF"/>
        <w:category>
          <w:name w:val="General"/>
          <w:gallery w:val="placeholder"/>
        </w:category>
        <w:types>
          <w:type w:val="bbPlcHdr"/>
        </w:types>
        <w:behaviors>
          <w:behavior w:val="content"/>
        </w:behaviors>
        <w:guid w:val="{BA82AD0B-D620-4E14-8DA8-F1A16E845439}"/>
      </w:docPartPr>
      <w:docPartBody>
        <w:p w:rsidR="00E15DC1" w:rsidRDefault="004C12D4" w:rsidP="004C12D4">
          <w:pPr>
            <w:pStyle w:val="6777DDBF7E16474584B8CCC592933DCF"/>
          </w:pPr>
          <w:r>
            <w:rPr>
              <w:rFonts w:eastAsia="Times New Roman" w:cs="Times New Roman"/>
              <w:bCs/>
            </w:rPr>
            <w:t xml:space="preserve"> </w:t>
          </w:r>
        </w:p>
      </w:docPartBody>
    </w:docPart>
    <w:docPart>
      <w:docPartPr>
        <w:name w:val="225E19A9F34D406C9F6CC62CE828D3A8"/>
        <w:category>
          <w:name w:val="General"/>
          <w:gallery w:val="placeholder"/>
        </w:category>
        <w:types>
          <w:type w:val="bbPlcHdr"/>
        </w:types>
        <w:behaviors>
          <w:behavior w:val="content"/>
        </w:behaviors>
        <w:guid w:val="{E5B9FED5-D300-426A-8E05-3C9D92DD5748}"/>
      </w:docPartPr>
      <w:docPartBody>
        <w:p w:rsidR="00E15DC1" w:rsidRDefault="00E15DC1"/>
      </w:docPartBody>
    </w:docPart>
    <w:docPart>
      <w:docPartPr>
        <w:name w:val="99781B1A1327443196B0837E6F1C04BD"/>
        <w:category>
          <w:name w:val="General"/>
          <w:gallery w:val="placeholder"/>
        </w:category>
        <w:types>
          <w:type w:val="bbPlcHdr"/>
        </w:types>
        <w:behaviors>
          <w:behavior w:val="content"/>
        </w:behaviors>
        <w:guid w:val="{2E4823E1-F2EE-4218-96CA-69C759C22D1F}"/>
      </w:docPartPr>
      <w:docPartBody>
        <w:p w:rsidR="00E15DC1" w:rsidRDefault="00E15D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C12D4"/>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15DC1"/>
    <w:rsid w:val="00E35A8C"/>
    <w:rsid w:val="00E65C8A"/>
    <w:rsid w:val="00F3398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12D4"/>
    <w:rPr>
      <w:color w:val="808080"/>
    </w:rPr>
  </w:style>
  <w:style w:type="paragraph" w:customStyle="1" w:styleId="C03399B74D1F496D8A7E48A0FA704F8F">
    <w:name w:val="C03399B74D1F496D8A7E48A0FA704F8F"/>
    <w:rsid w:val="004C12D4"/>
    <w:pPr>
      <w:spacing w:after="160" w:line="278" w:lineRule="auto"/>
    </w:pPr>
    <w:rPr>
      <w:kern w:val="2"/>
      <w:sz w:val="24"/>
      <w:szCs w:val="24"/>
      <w14:ligatures w14:val="standardContextual"/>
    </w:rPr>
  </w:style>
  <w:style w:type="paragraph" w:customStyle="1" w:styleId="6777DDBF7E16474584B8CCC592933DCF">
    <w:name w:val="6777DDBF7E16474584B8CCC592933DCF"/>
    <w:rsid w:val="004C12D4"/>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5702</TotalTime>
  <Pages>1</Pages>
  <Words>1049</Words>
  <Characters>5983</Characters>
  <Application>Microsoft Office Word</Application>
  <DocSecurity>0</DocSecurity>
  <Lines>49</Lines>
  <Paragraphs>14</Paragraphs>
  <ScaleCrop>false</ScaleCrop>
  <Company>Texas Legislative Council</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2025-04-29T22:28:00Z</cp:lastPrinted>
  <dcterms:created xsi:type="dcterms:W3CDTF">2015-05-29T14:24:00Z</dcterms:created>
  <dcterms:modified xsi:type="dcterms:W3CDTF">2025-04-29T22:28:00Z</dcterms:modified>
</cp:coreProperties>
</file>

<file path=docProps/custom.xml><?xml version="1.0" encoding="utf-8"?>
<op:Properties xmlns:vt="http://schemas.openxmlformats.org/officeDocument/2006/docPropsVTypes" xmlns:op="http://schemas.openxmlformats.org/officeDocument/2006/custom-properties"/>
</file>