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66E" w:rsidRDefault="005D766E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FF48EB5B5B104273867821B2A8F7EA8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5D766E" w:rsidRPr="00585C31" w:rsidRDefault="005D766E" w:rsidP="000F1DF9">
      <w:pPr>
        <w:spacing w:after="0" w:line="240" w:lineRule="auto"/>
        <w:rPr>
          <w:rFonts w:cs="Times New Roman"/>
          <w:szCs w:val="24"/>
        </w:rPr>
      </w:pPr>
    </w:p>
    <w:p w:rsidR="005D766E" w:rsidRPr="00585C31" w:rsidRDefault="005D766E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5D766E" w:rsidTr="000F1DF9">
        <w:tc>
          <w:tcPr>
            <w:tcW w:w="2718" w:type="dxa"/>
          </w:tcPr>
          <w:p w:rsidR="005D766E" w:rsidRPr="005C2A78" w:rsidRDefault="005D766E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FE204EF3DDEB46F5A02A9A14AC2E8B2A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5D766E" w:rsidRPr="00FF6471" w:rsidRDefault="005D766E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A58C5E8BFF774FEBB60FC51BBC4B76B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2431</w:t>
                </w:r>
              </w:sdtContent>
            </w:sdt>
          </w:p>
        </w:tc>
      </w:tr>
      <w:tr w:rsidR="005D766E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356BB7F1B60042048EB216E635776750"/>
            </w:placeholder>
            <w:showingPlcHdr/>
          </w:sdtPr>
          <w:sdtContent>
            <w:tc>
              <w:tcPr>
                <w:tcW w:w="2718" w:type="dxa"/>
              </w:tcPr>
              <w:p w:rsidR="005D766E" w:rsidRPr="000F1DF9" w:rsidRDefault="005D766E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5D766E" w:rsidRPr="005C2A78" w:rsidRDefault="005D766E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B69EC3A647B84533B31B34D0091BC50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2A4CF48A1052450C9D32D015AC8590A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97A2F68D7E764989AD1F07A8DFC08DAF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A8811EF7F5F7427982E237D631A4DACD"/>
                </w:placeholder>
                <w:showingPlcHdr/>
              </w:sdtPr>
              <w:sdtContent/>
            </w:sdt>
          </w:p>
        </w:tc>
      </w:tr>
      <w:tr w:rsidR="005D766E" w:rsidTr="000F1DF9">
        <w:tc>
          <w:tcPr>
            <w:tcW w:w="2718" w:type="dxa"/>
          </w:tcPr>
          <w:p w:rsidR="005D766E" w:rsidRPr="00BC7495" w:rsidRDefault="005D766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1A20D067F68E497CA58601C8897FE518"/>
            </w:placeholder>
          </w:sdtPr>
          <w:sdtContent>
            <w:tc>
              <w:tcPr>
                <w:tcW w:w="6858" w:type="dxa"/>
              </w:tcPr>
              <w:p w:rsidR="005D766E" w:rsidRPr="00FF6471" w:rsidRDefault="005D766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5D766E" w:rsidTr="000F1DF9">
        <w:tc>
          <w:tcPr>
            <w:tcW w:w="2718" w:type="dxa"/>
          </w:tcPr>
          <w:p w:rsidR="005D766E" w:rsidRPr="00BC7495" w:rsidRDefault="005D766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8A82F438BA5B416E81AD59813AC774DA"/>
            </w:placeholder>
            <w:date w:fullDate="2025-08-0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5D766E" w:rsidRPr="00FF6471" w:rsidRDefault="005D766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8/4/2025</w:t>
                </w:r>
              </w:p>
            </w:tc>
          </w:sdtContent>
        </w:sdt>
      </w:tr>
      <w:tr w:rsidR="005D766E" w:rsidTr="000F1DF9">
        <w:tc>
          <w:tcPr>
            <w:tcW w:w="2718" w:type="dxa"/>
          </w:tcPr>
          <w:p w:rsidR="005D766E" w:rsidRPr="00BC7495" w:rsidRDefault="005D766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32E9D6405094BFEA66535DF0F5CFCB0"/>
            </w:placeholder>
          </w:sdtPr>
          <w:sdtContent>
            <w:tc>
              <w:tcPr>
                <w:tcW w:w="6858" w:type="dxa"/>
              </w:tcPr>
              <w:p w:rsidR="005D766E" w:rsidRPr="00FF6471" w:rsidRDefault="005D766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5D766E" w:rsidRPr="00FF6471" w:rsidRDefault="005D766E" w:rsidP="000F1DF9">
      <w:pPr>
        <w:spacing w:after="0" w:line="240" w:lineRule="auto"/>
        <w:rPr>
          <w:rFonts w:cs="Times New Roman"/>
          <w:szCs w:val="24"/>
        </w:rPr>
      </w:pPr>
    </w:p>
    <w:p w:rsidR="005D766E" w:rsidRPr="00FF6471" w:rsidRDefault="005D766E" w:rsidP="000F1DF9">
      <w:pPr>
        <w:spacing w:after="0" w:line="240" w:lineRule="auto"/>
        <w:rPr>
          <w:rFonts w:cs="Times New Roman"/>
          <w:szCs w:val="24"/>
        </w:rPr>
      </w:pPr>
    </w:p>
    <w:p w:rsidR="005D766E" w:rsidRPr="00FF6471" w:rsidRDefault="005D766E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258FC2D4252D41B18406F5D34CCDAAAF"/>
        </w:placeholder>
      </w:sdtPr>
      <w:sdtContent>
        <w:p w:rsidR="005D766E" w:rsidRDefault="005D766E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237B592A58EF428EB8665FB1D1DD10EC"/>
        </w:placeholder>
      </w:sdtPr>
      <w:sdtContent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rFonts w:eastAsia="Times New Roman"/>
              <w:bCs/>
            </w:rPr>
          </w:pP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Learning a foreign language is a valuable skill that can give college students an advantage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in seeking employment. According to a 2021 report by the Modern Language Association,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the amount of college students in the United States learning a foreign language other than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English fell to 1.2 million</w:t>
          </w:r>
          <w:r>
            <w:rPr>
              <w:color w:val="000000"/>
            </w:rPr>
            <w:t>,</w:t>
          </w:r>
          <w:r w:rsidRPr="00F87355">
            <w:rPr>
              <w:color w:val="000000"/>
            </w:rPr>
            <w:t xml:space="preserve"> which is a 30</w:t>
          </w:r>
          <w:r>
            <w:rPr>
              <w:color w:val="000000"/>
            </w:rPr>
            <w:t xml:space="preserve"> percent</w:t>
          </w:r>
          <w:r w:rsidRPr="00F87355">
            <w:rPr>
              <w:color w:val="000000"/>
            </w:rPr>
            <w:t xml:space="preserve"> drop since 2009. Additionally, </w:t>
          </w:r>
          <w:r>
            <w:rPr>
              <w:color w:val="000000"/>
            </w:rPr>
            <w:t>T</w:t>
          </w:r>
          <w:r w:rsidRPr="00F87355">
            <w:rPr>
              <w:color w:val="000000"/>
            </w:rPr>
            <w:t>he University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of Texas at Austin reported that between 2014 and 2024, foreign language enrollment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decreased by 11</w:t>
          </w:r>
          <w:r>
            <w:rPr>
              <w:color w:val="000000"/>
            </w:rPr>
            <w:t xml:space="preserve"> percent</w:t>
          </w:r>
          <w:r w:rsidRPr="00F87355">
            <w:rPr>
              <w:color w:val="000000"/>
            </w:rPr>
            <w:t>.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This decrease in foreign language enrollment could significantly harm U.S. national</w:t>
          </w:r>
          <w:r>
            <w:rPr>
              <w:color w:val="000000"/>
            </w:rPr>
            <w:t xml:space="preserve">  </w:t>
          </w:r>
          <w:r w:rsidRPr="00F87355">
            <w:rPr>
              <w:color w:val="000000"/>
            </w:rPr>
            <w:t>security and the U.S. economy. For example, due to the lack of proficient Arabic speakers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before 9/11, federal intelligence agencies such as the FBI had a lack of translators</w:t>
          </w:r>
          <w:r>
            <w:rPr>
              <w:color w:val="000000"/>
            </w:rPr>
            <w:t>,</w:t>
          </w:r>
          <w:r w:rsidRPr="00F87355">
            <w:rPr>
              <w:color w:val="000000"/>
            </w:rPr>
            <w:t xml:space="preserve"> which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caused massive delays in translating surveillance information before the attacks on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September 11th. Additionally, according to a recent report by the American Council on the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 xml:space="preserve">Teaching of Foreign Languages (ACTFL), </w:t>
          </w:r>
          <w:r>
            <w:rPr>
              <w:color w:val="000000"/>
            </w:rPr>
            <w:t>one</w:t>
          </w:r>
          <w:r w:rsidRPr="00F87355">
            <w:rPr>
              <w:color w:val="000000"/>
            </w:rPr>
            <w:t xml:space="preserve"> out of </w:t>
          </w:r>
          <w:r>
            <w:rPr>
              <w:color w:val="000000"/>
            </w:rPr>
            <w:t>four</w:t>
          </w:r>
          <w:r w:rsidRPr="00F87355">
            <w:rPr>
              <w:color w:val="000000"/>
            </w:rPr>
            <w:t xml:space="preserve"> U.S. employers lost business due to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a lack of foreign language skills.</w:t>
          </w: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This statistic shows that the lack of professionals in the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private sector with foreign language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skills could significantly weaken the U.S. economy.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This legislation seeks to address the decrease in foreign language enrollment in institutions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of higher education by providing an option for students to participate in study abroad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programs, while simultaneously earning foreign language credit to achieve proficiency in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a foreign language. Promoting the study of foreign languages abroad will equip college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students with highly sought after skills that will benefit employers in both the public and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private sectors, ultimately strengthening the Texas workforce, the Texas economy, and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 xml:space="preserve">U.S. </w:t>
          </w:r>
          <w:r>
            <w:rPr>
              <w:color w:val="000000"/>
            </w:rPr>
            <w:t>n</w:t>
          </w:r>
          <w:r w:rsidRPr="00F87355">
            <w:rPr>
              <w:color w:val="000000"/>
            </w:rPr>
            <w:t xml:space="preserve">ational </w:t>
          </w:r>
          <w:r>
            <w:rPr>
              <w:color w:val="000000"/>
            </w:rPr>
            <w:t>s</w:t>
          </w:r>
          <w:r w:rsidRPr="00F87355">
            <w:rPr>
              <w:color w:val="000000"/>
            </w:rPr>
            <w:t xml:space="preserve">ecurity. 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Legislative Intent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F87355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F87355">
            <w:rPr>
              <w:color w:val="000000"/>
            </w:rPr>
            <w:t xml:space="preserve"> 2431 requires institutions of higher education in the state of Texas, both public and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private,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to build on existing study abroad programs and have an option where a student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participating in a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study abroad program can receive the allotted foreign language credit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required by that institution to meet proficiency.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Key Provisions: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  <w:r w:rsidRPr="00F87355">
            <w:rPr>
              <w:color w:val="000000"/>
            </w:rPr>
            <w:t>1. Amends Subchapter F, Chapter 51, of the Texas Education Code by adding Section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 xml:space="preserve">51.313 which assigns </w:t>
          </w:r>
          <w:r>
            <w:rPr>
              <w:color w:val="000000"/>
            </w:rPr>
            <w:t>"</w:t>
          </w:r>
          <w:r w:rsidRPr="00F87355">
            <w:rPr>
              <w:color w:val="000000"/>
            </w:rPr>
            <w:t>institution of higher education</w:t>
          </w:r>
          <w:r>
            <w:rPr>
              <w:color w:val="000000"/>
            </w:rPr>
            <w:t xml:space="preserve">" </w:t>
          </w:r>
          <w:r w:rsidRPr="00F87355">
            <w:rPr>
              <w:color w:val="000000"/>
            </w:rPr>
            <w:t xml:space="preserve">and </w:t>
          </w:r>
          <w:r>
            <w:rPr>
              <w:color w:val="000000"/>
            </w:rPr>
            <w:t>"</w:t>
          </w:r>
          <w:r w:rsidRPr="00F87355">
            <w:rPr>
              <w:color w:val="000000"/>
            </w:rPr>
            <w:t>private or independent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institution of higher education</w:t>
          </w:r>
          <w:r>
            <w:rPr>
              <w:color w:val="000000"/>
            </w:rPr>
            <w:t>"</w:t>
          </w:r>
          <w:r w:rsidRPr="00F87355">
            <w:rPr>
              <w:color w:val="000000"/>
            </w:rPr>
            <w:t xml:space="preserve"> the meanings assigned by </w:t>
          </w:r>
          <w:r>
            <w:rPr>
              <w:color w:val="000000"/>
            </w:rPr>
            <w:t>S</w:t>
          </w:r>
          <w:r w:rsidRPr="00F87355">
            <w:rPr>
              <w:color w:val="000000"/>
            </w:rPr>
            <w:t>ection 61.003 of the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Texas Education Code.</w:t>
          </w:r>
        </w:p>
        <w:p w:rsidR="005D766E" w:rsidRPr="00F87355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  <w:rPr>
              <w:color w:val="000000"/>
            </w:rPr>
          </w:pPr>
        </w:p>
        <w:p w:rsidR="005D766E" w:rsidRPr="00A80B2B" w:rsidRDefault="005D766E" w:rsidP="00A80B2B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356927942"/>
          </w:pPr>
          <w:r w:rsidRPr="00F87355">
            <w:rPr>
              <w:color w:val="000000"/>
            </w:rPr>
            <w:t>2. Delegates authority to the Texas Higher Education Coordinating Board to establish</w:t>
          </w:r>
          <w:r>
            <w:rPr>
              <w:color w:val="000000"/>
            </w:rPr>
            <w:t xml:space="preserve"> </w:t>
          </w:r>
          <w:r w:rsidRPr="00F87355">
            <w:rPr>
              <w:color w:val="000000"/>
            </w:rPr>
            <w:t>procedures and adopt rules to implement this section</w:t>
          </w:r>
          <w:r>
            <w:rPr>
              <w:color w:val="000000"/>
            </w:rPr>
            <w:t>.</w:t>
          </w:r>
        </w:p>
        <w:p w:rsidR="005D766E" w:rsidRPr="00D70925" w:rsidRDefault="005D766E" w:rsidP="00A80B2B">
          <w:pPr>
            <w:shd w:val="clear" w:color="000000" w:fill="auto"/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5D766E" w:rsidRDefault="005D766E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S.B. 2431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</w:t>
      </w:r>
      <w:r w:rsidRPr="00A80B2B">
        <w:rPr>
          <w:rFonts w:cs="Times New Roman"/>
          <w:szCs w:val="24"/>
        </w:rPr>
        <w:t>relating to requiring foreign language credit opportunities for students enrolled in study abroad components or programs offered by certain institutions of higher education in this state</w:t>
      </w:r>
      <w:r>
        <w:rPr>
          <w:rFonts w:cs="Times New Roman"/>
          <w:szCs w:val="24"/>
        </w:rPr>
        <w:t>.</w:t>
      </w:r>
    </w:p>
    <w:p w:rsidR="005D766E" w:rsidRPr="00A80B2B" w:rsidRDefault="005D766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/>
      </w:r>
      <w:r>
        <w:rPr>
          <w:rFonts w:eastAsia="Times New Roman" w:cs="Times New Roman"/>
          <w:szCs w:val="24"/>
        </w:rPr>
        <w:br/>
      </w:r>
    </w:p>
    <w:p w:rsidR="005D766E" w:rsidRPr="005C2A78" w:rsidRDefault="005D766E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99664116522A443781EB3FD3CE6658F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5D766E" w:rsidRPr="006529C4" w:rsidRDefault="005D766E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5D766E" w:rsidRPr="006529C4" w:rsidRDefault="005D766E" w:rsidP="00774EC7">
      <w:pPr>
        <w:spacing w:after="0" w:line="240" w:lineRule="auto"/>
        <w:jc w:val="both"/>
        <w:rPr>
          <w:rFonts w:cs="Times New Roman"/>
          <w:szCs w:val="24"/>
        </w:rPr>
      </w:pPr>
      <w:r w:rsidRPr="000B794D">
        <w:rPr>
          <w:rFonts w:cs="Times New Roman"/>
          <w:szCs w:val="24"/>
        </w:rPr>
        <w:t>Rulemaking authority is expressly granted to the Texas Higher Education Coordinating Board in SECTION 1 (Section 51.313, Education Code) of this bill.</w:t>
      </w:r>
    </w:p>
    <w:p w:rsidR="005D766E" w:rsidRPr="006529C4" w:rsidRDefault="005D766E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5D766E" w:rsidRPr="005C2A78" w:rsidRDefault="005D766E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3789A259D9C74B28B47A479410C8F7F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5D766E" w:rsidRPr="005C2A78" w:rsidRDefault="005D766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766E" w:rsidRDefault="005D766E" w:rsidP="00FF2AA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F, Chapter 51, Education Code, by adding Section 51.313, as follows:</w:t>
      </w:r>
    </w:p>
    <w:p w:rsidR="005D766E" w:rsidRDefault="005D766E" w:rsidP="00FF2AA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766E" w:rsidRDefault="005D766E" w:rsidP="00FF2AA2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51.313. </w:t>
      </w:r>
      <w:r w:rsidRPr="00F87355">
        <w:rPr>
          <w:rFonts w:eastAsia="Times New Roman" w:cs="Times New Roman"/>
          <w:szCs w:val="24"/>
        </w:rPr>
        <w:t>STUDY ABROAD: FOREIGN LANGUAGE PROFICIENCY</w:t>
      </w:r>
      <w:r>
        <w:rPr>
          <w:rFonts w:eastAsia="Times New Roman" w:cs="Times New Roman"/>
          <w:szCs w:val="24"/>
        </w:rPr>
        <w:t>. (a) Defines "institution of higher education."</w:t>
      </w:r>
    </w:p>
    <w:p w:rsidR="005D766E" w:rsidRDefault="005D766E" w:rsidP="00FF2AA2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D766E" w:rsidRDefault="005D766E" w:rsidP="00FF2AA2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</w:t>
      </w:r>
      <w:r w:rsidRPr="00F87355">
        <w:rPr>
          <w:rFonts w:eastAsia="Times New Roman" w:cs="Times New Roman"/>
          <w:szCs w:val="24"/>
        </w:rPr>
        <w:t>an institution of higher education</w:t>
      </w:r>
      <w:r>
        <w:rPr>
          <w:rFonts w:eastAsia="Times New Roman" w:cs="Times New Roman"/>
          <w:szCs w:val="24"/>
        </w:rPr>
        <w:t xml:space="preserve"> </w:t>
      </w:r>
      <w:r w:rsidRPr="00F87355">
        <w:rPr>
          <w:rFonts w:eastAsia="Times New Roman" w:cs="Times New Roman"/>
          <w:szCs w:val="24"/>
        </w:rPr>
        <w:t>that, through any baccalaureate degree program, offers a study abroad</w:t>
      </w:r>
      <w:r>
        <w:rPr>
          <w:rFonts w:eastAsia="Times New Roman" w:cs="Times New Roman"/>
          <w:szCs w:val="24"/>
        </w:rPr>
        <w:t xml:space="preserve"> component or </w:t>
      </w:r>
      <w:r w:rsidRPr="00F87355">
        <w:rPr>
          <w:rFonts w:eastAsia="Times New Roman" w:cs="Times New Roman"/>
          <w:szCs w:val="24"/>
        </w:rPr>
        <w:t>program in a location where a language other than English is primarily spoken</w:t>
      </w:r>
      <w:r>
        <w:rPr>
          <w:rFonts w:eastAsia="Times New Roman" w:cs="Times New Roman"/>
          <w:szCs w:val="24"/>
        </w:rPr>
        <w:t xml:space="preserve">, for </w:t>
      </w:r>
      <w:r w:rsidRPr="00F87355">
        <w:rPr>
          <w:rFonts w:eastAsia="Times New Roman" w:cs="Times New Roman"/>
          <w:szCs w:val="24"/>
        </w:rPr>
        <w:t>the purpose of providing the opportunity for students to gain proficiency in a foreign language</w:t>
      </w:r>
      <w:r>
        <w:rPr>
          <w:rFonts w:eastAsia="Times New Roman" w:cs="Times New Roman"/>
          <w:szCs w:val="24"/>
        </w:rPr>
        <w:t xml:space="preserve">, to provide, in accordance with rules adopted under Subsection (c), an </w:t>
      </w:r>
      <w:r w:rsidRPr="00F87355">
        <w:rPr>
          <w:rFonts w:eastAsia="Times New Roman" w:cs="Times New Roman"/>
          <w:szCs w:val="24"/>
        </w:rPr>
        <w:t>option that allows a student enrolled in the study abroad</w:t>
      </w:r>
      <w:r>
        <w:rPr>
          <w:rFonts w:eastAsia="Times New Roman" w:cs="Times New Roman"/>
          <w:szCs w:val="24"/>
        </w:rPr>
        <w:t xml:space="preserve"> component or</w:t>
      </w:r>
      <w:r w:rsidRPr="00F87355">
        <w:rPr>
          <w:rFonts w:eastAsia="Times New Roman" w:cs="Times New Roman"/>
          <w:szCs w:val="24"/>
        </w:rPr>
        <w:t xml:space="preserve"> program to earn foreign language credit as part of that</w:t>
      </w:r>
      <w:r>
        <w:rPr>
          <w:rFonts w:eastAsia="Times New Roman" w:cs="Times New Roman"/>
          <w:szCs w:val="24"/>
        </w:rPr>
        <w:t xml:space="preserve"> component or program.</w:t>
      </w:r>
    </w:p>
    <w:p w:rsidR="005D766E" w:rsidRDefault="005D766E" w:rsidP="00FF2AA2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D766E" w:rsidRDefault="005D766E" w:rsidP="00FF2AA2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Requires the </w:t>
      </w:r>
      <w:r w:rsidRPr="00A80B2B">
        <w:rPr>
          <w:rFonts w:eastAsia="Times New Roman" w:cs="Times New Roman"/>
          <w:szCs w:val="24"/>
        </w:rPr>
        <w:t>Texas Higher Education Coordinating Board</w:t>
      </w:r>
      <w:r>
        <w:rPr>
          <w:rFonts w:eastAsia="Times New Roman" w:cs="Times New Roman"/>
          <w:szCs w:val="24"/>
        </w:rPr>
        <w:t xml:space="preserve"> to </w:t>
      </w:r>
      <w:r w:rsidRPr="00A80B2B">
        <w:rPr>
          <w:rFonts w:eastAsia="Times New Roman" w:cs="Times New Roman"/>
          <w:szCs w:val="24"/>
        </w:rPr>
        <w:t>adopt rules as necessary to implement this section, including rules that</w:t>
      </w:r>
      <w:r>
        <w:rPr>
          <w:rFonts w:eastAsia="Times New Roman" w:cs="Times New Roman"/>
          <w:szCs w:val="24"/>
        </w:rPr>
        <w:t>:</w:t>
      </w:r>
    </w:p>
    <w:p w:rsidR="005D766E" w:rsidRDefault="005D766E" w:rsidP="00FF2AA2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D766E" w:rsidRDefault="005D766E" w:rsidP="00FF2AA2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(1) </w:t>
      </w:r>
      <w:r w:rsidRPr="00A80B2B">
        <w:rPr>
          <w:rFonts w:eastAsia="Times New Roman" w:cs="Times New Roman"/>
          <w:szCs w:val="24"/>
        </w:rPr>
        <w:t>define the study abroad components or programs to which this section applies</w:t>
      </w:r>
      <w:r>
        <w:rPr>
          <w:rFonts w:eastAsia="Times New Roman" w:cs="Times New Roman"/>
          <w:szCs w:val="24"/>
        </w:rPr>
        <w:t>; and</w:t>
      </w:r>
    </w:p>
    <w:p w:rsidR="005D766E" w:rsidRDefault="005D766E" w:rsidP="00FF2AA2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D766E" w:rsidRDefault="005D766E" w:rsidP="00FF2AA2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(2) </w:t>
      </w:r>
      <w:r w:rsidRPr="00A80B2B">
        <w:rPr>
          <w:rFonts w:eastAsia="Times New Roman" w:cs="Times New Roman"/>
          <w:szCs w:val="24"/>
        </w:rPr>
        <w:t xml:space="preserve">prescribe the manner in which a student </w:t>
      </w:r>
      <w:r>
        <w:rPr>
          <w:rFonts w:eastAsia="Times New Roman" w:cs="Times New Roman"/>
          <w:szCs w:val="24"/>
        </w:rPr>
        <w:t>is authorized to</w:t>
      </w:r>
      <w:r w:rsidRPr="00A80B2B">
        <w:rPr>
          <w:rFonts w:eastAsia="Times New Roman" w:cs="Times New Roman"/>
          <w:szCs w:val="24"/>
        </w:rPr>
        <w:t xml:space="preserve"> earn foreign language credit as part of a component or program described by Subdivision (1).</w:t>
      </w:r>
    </w:p>
    <w:p w:rsidR="005D766E" w:rsidRDefault="005D766E" w:rsidP="00FF2AA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766E" w:rsidRPr="005C2A78" w:rsidRDefault="005D766E" w:rsidP="00FF2AA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Provides that </w:t>
      </w:r>
      <w:r w:rsidRPr="00F87355">
        <w:rPr>
          <w:rFonts w:eastAsia="Times New Roman" w:cs="Times New Roman"/>
          <w:szCs w:val="24"/>
        </w:rPr>
        <w:t>Section 51.313, Education Code, as added by this Act</w:t>
      </w:r>
      <w:r>
        <w:rPr>
          <w:rFonts w:eastAsia="Times New Roman" w:cs="Times New Roman"/>
          <w:szCs w:val="24"/>
        </w:rPr>
        <w:t>, applies beginning with the 2026</w:t>
      </w:r>
      <w:r w:rsidRPr="00F87355"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zCs w:val="24"/>
        </w:rPr>
        <w:t>2027 academic year.</w:t>
      </w:r>
    </w:p>
    <w:p w:rsidR="005D766E" w:rsidRPr="005C2A78" w:rsidRDefault="005D766E" w:rsidP="00FF2AA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766E" w:rsidRPr="00C8671F" w:rsidRDefault="005D766E" w:rsidP="00FF2AA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upon passage or September 1, 2025.</w:t>
      </w:r>
    </w:p>
    <w:sectPr w:rsidR="005D766E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7CFC" w:rsidRDefault="00C07CFC" w:rsidP="000F1DF9">
      <w:pPr>
        <w:spacing w:after="0" w:line="240" w:lineRule="auto"/>
      </w:pPr>
      <w:r>
        <w:separator/>
      </w:r>
    </w:p>
  </w:endnote>
  <w:endnote w:type="continuationSeparator" w:id="0">
    <w:p w:rsidR="00C07CFC" w:rsidRDefault="00C07CFC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07CFC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5D766E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5D766E">
                <w:rPr>
                  <w:sz w:val="20"/>
                  <w:szCs w:val="20"/>
                </w:rPr>
                <w:t>S.B. 2431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5D766E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07CFC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7CFC" w:rsidRDefault="00C07CFC" w:rsidP="000F1DF9">
      <w:pPr>
        <w:spacing w:after="0" w:line="240" w:lineRule="auto"/>
      </w:pPr>
      <w:r>
        <w:separator/>
      </w:r>
    </w:p>
  </w:footnote>
  <w:footnote w:type="continuationSeparator" w:id="0">
    <w:p w:rsidR="00C07CFC" w:rsidRDefault="00C07CFC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D766E"/>
    <w:rsid w:val="005E0AC7"/>
    <w:rsid w:val="005F46D7"/>
    <w:rsid w:val="00605CA0"/>
    <w:rsid w:val="006529C4"/>
    <w:rsid w:val="006D756B"/>
    <w:rsid w:val="00774EC7"/>
    <w:rsid w:val="0080618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B0C1C"/>
    <w:rsid w:val="00BC7495"/>
    <w:rsid w:val="00BD0CEE"/>
    <w:rsid w:val="00BE4852"/>
    <w:rsid w:val="00C04606"/>
    <w:rsid w:val="00C07CFC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4C74F"/>
  <w15:docId w15:val="{127965A2-DF4B-4F99-B497-A48469F9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D766E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FF48EB5B5B104273867821B2A8F7E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26A9-DF3D-44FB-A25D-4591876E167F}"/>
      </w:docPartPr>
      <w:docPartBody>
        <w:p w:rsidR="00681F2A" w:rsidRDefault="00681F2A"/>
      </w:docPartBody>
    </w:docPart>
    <w:docPart>
      <w:docPartPr>
        <w:name w:val="FE204EF3DDEB46F5A02A9A14AC2E8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13E55-99CE-4472-8D1B-2F8A156B3A8B}"/>
      </w:docPartPr>
      <w:docPartBody>
        <w:p w:rsidR="00681F2A" w:rsidRDefault="00681F2A"/>
      </w:docPartBody>
    </w:docPart>
    <w:docPart>
      <w:docPartPr>
        <w:name w:val="A58C5E8BFF774FEBB60FC51BBC4B7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AFE1A-BEA0-4578-9439-2D9A2FD60C60}"/>
      </w:docPartPr>
      <w:docPartBody>
        <w:p w:rsidR="00681F2A" w:rsidRDefault="00681F2A"/>
      </w:docPartBody>
    </w:docPart>
    <w:docPart>
      <w:docPartPr>
        <w:name w:val="356BB7F1B60042048EB216E635776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11B9-9CD7-4503-9015-2CC1A7E0DD5A}"/>
      </w:docPartPr>
      <w:docPartBody>
        <w:p w:rsidR="00681F2A" w:rsidRDefault="00681F2A"/>
      </w:docPartBody>
    </w:docPart>
    <w:docPart>
      <w:docPartPr>
        <w:name w:val="B69EC3A647B84533B31B34D0091BC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2181-C9CC-45CF-A609-413E3822517C}"/>
      </w:docPartPr>
      <w:docPartBody>
        <w:p w:rsidR="00681F2A" w:rsidRDefault="00681F2A"/>
      </w:docPartBody>
    </w:docPart>
    <w:docPart>
      <w:docPartPr>
        <w:name w:val="2A4CF48A1052450C9D32D015AC85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08B59-A55A-4A9E-8913-561D8A7448FE}"/>
      </w:docPartPr>
      <w:docPartBody>
        <w:p w:rsidR="00681F2A" w:rsidRDefault="00681F2A"/>
      </w:docPartBody>
    </w:docPart>
    <w:docPart>
      <w:docPartPr>
        <w:name w:val="97A2F68D7E764989AD1F07A8DFC08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AA200-3667-43A4-A07E-7A0F64C1E4E7}"/>
      </w:docPartPr>
      <w:docPartBody>
        <w:p w:rsidR="00681F2A" w:rsidRDefault="00681F2A"/>
      </w:docPartBody>
    </w:docPart>
    <w:docPart>
      <w:docPartPr>
        <w:name w:val="A8811EF7F5F7427982E237D631A4D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C4B40-7288-4D3D-A798-579CDBAFD966}"/>
      </w:docPartPr>
      <w:docPartBody>
        <w:p w:rsidR="00681F2A" w:rsidRDefault="00681F2A"/>
      </w:docPartBody>
    </w:docPart>
    <w:docPart>
      <w:docPartPr>
        <w:name w:val="1A20D067F68E497CA58601C8897FE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F50CF-0B6D-41D3-90DD-4E5D4C657F0F}"/>
      </w:docPartPr>
      <w:docPartBody>
        <w:p w:rsidR="00681F2A" w:rsidRDefault="00681F2A"/>
      </w:docPartBody>
    </w:docPart>
    <w:docPart>
      <w:docPartPr>
        <w:name w:val="8A82F438BA5B416E81AD59813AC77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1C64E-EB14-47BA-B8C0-21D3367BC050}"/>
      </w:docPartPr>
      <w:docPartBody>
        <w:p w:rsidR="00681F2A" w:rsidRDefault="00E31BAF" w:rsidP="00E31BAF">
          <w:pPr>
            <w:pStyle w:val="8A82F438BA5B416E81AD59813AC774DA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32E9D6405094BFEA66535DF0F5C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392B3-BF20-424A-8E70-FBE3087E0644}"/>
      </w:docPartPr>
      <w:docPartBody>
        <w:p w:rsidR="00681F2A" w:rsidRDefault="00681F2A"/>
      </w:docPartBody>
    </w:docPart>
    <w:docPart>
      <w:docPartPr>
        <w:name w:val="258FC2D4252D41B18406F5D34CCDA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BB24-0F8E-4D87-BA84-467988364E27}"/>
      </w:docPartPr>
      <w:docPartBody>
        <w:p w:rsidR="00681F2A" w:rsidRDefault="00681F2A"/>
      </w:docPartBody>
    </w:docPart>
    <w:docPart>
      <w:docPartPr>
        <w:name w:val="237B592A58EF428EB8665FB1D1DD1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8810-3F61-48CE-9D19-01B0AE7F5E9B}"/>
      </w:docPartPr>
      <w:docPartBody>
        <w:p w:rsidR="00681F2A" w:rsidRDefault="00E31BAF" w:rsidP="00E31BAF">
          <w:pPr>
            <w:pStyle w:val="237B592A58EF428EB8665FB1D1DD10EC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99664116522A443781EB3FD3CE665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A4E52-6543-4640-A82F-735C4839D12E}"/>
      </w:docPartPr>
      <w:docPartBody>
        <w:p w:rsidR="00681F2A" w:rsidRDefault="00681F2A"/>
      </w:docPartBody>
    </w:docPart>
    <w:docPart>
      <w:docPartPr>
        <w:name w:val="3789A259D9C74B28B47A479410C8F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9E364-8EE1-4494-B977-AB5315124B30}"/>
      </w:docPartPr>
      <w:docPartBody>
        <w:p w:rsidR="00681F2A" w:rsidRDefault="00681F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81F2A"/>
    <w:rsid w:val="006959CC"/>
    <w:rsid w:val="00696675"/>
    <w:rsid w:val="006B0016"/>
    <w:rsid w:val="00806187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1BAF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BAF"/>
    <w:rPr>
      <w:color w:val="808080"/>
    </w:rPr>
  </w:style>
  <w:style w:type="paragraph" w:customStyle="1" w:styleId="8A82F438BA5B416E81AD59813AC774DA">
    <w:name w:val="8A82F438BA5B416E81AD59813AC774DA"/>
    <w:rsid w:val="00E31BA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37B592A58EF428EB8665FB1D1DD10EC">
    <w:name w:val="237B592A58EF428EB8665FB1D1DD10EC"/>
    <w:rsid w:val="00E31BA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660</Words>
  <Characters>3767</Characters>
  <Application>Microsoft Office Word</Application>
  <DocSecurity>0</DocSecurity>
  <Lines>31</Lines>
  <Paragraphs>8</Paragraphs>
  <ScaleCrop>false</ScaleCrop>
  <Company>Texas Legislative Council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David Mauzy</cp:lastModifiedBy>
  <cp:revision>161</cp:revision>
  <dcterms:created xsi:type="dcterms:W3CDTF">2015-05-29T14:24:00Z</dcterms:created>
  <dcterms:modified xsi:type="dcterms:W3CDTF">2025-08-20T16:11:00Z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