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42448" w14:paraId="3B30A8D0" w14:textId="77777777" w:rsidTr="00345119">
        <w:tc>
          <w:tcPr>
            <w:tcW w:w="9576" w:type="dxa"/>
            <w:noWrap/>
          </w:tcPr>
          <w:p w14:paraId="5B007260" w14:textId="77777777" w:rsidR="008423E4" w:rsidRPr="0022177D" w:rsidRDefault="0030493B" w:rsidP="00153B08">
            <w:pPr>
              <w:pStyle w:val="Heading1"/>
            </w:pPr>
            <w:r w:rsidRPr="00631897">
              <w:t>BILL ANALYSIS</w:t>
            </w:r>
          </w:p>
        </w:tc>
      </w:tr>
    </w:tbl>
    <w:p w14:paraId="54C90888" w14:textId="77777777" w:rsidR="008423E4" w:rsidRPr="0022177D" w:rsidRDefault="008423E4" w:rsidP="00153B08">
      <w:pPr>
        <w:jc w:val="center"/>
      </w:pPr>
    </w:p>
    <w:p w14:paraId="3F59227F" w14:textId="77777777" w:rsidR="008423E4" w:rsidRPr="00B31F0E" w:rsidRDefault="008423E4" w:rsidP="00153B08"/>
    <w:p w14:paraId="598D3ADA" w14:textId="77777777" w:rsidR="008423E4" w:rsidRPr="00742794" w:rsidRDefault="008423E4" w:rsidP="00153B0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42448" w14:paraId="166601CE" w14:textId="77777777" w:rsidTr="00345119">
        <w:tc>
          <w:tcPr>
            <w:tcW w:w="9576" w:type="dxa"/>
          </w:tcPr>
          <w:p w14:paraId="1A17996F" w14:textId="511CBFEC" w:rsidR="008423E4" w:rsidRPr="00861995" w:rsidRDefault="0030493B" w:rsidP="00153B08">
            <w:pPr>
              <w:jc w:val="right"/>
            </w:pPr>
            <w:r>
              <w:t>C.S.S.B. 2615</w:t>
            </w:r>
          </w:p>
        </w:tc>
      </w:tr>
      <w:tr w:rsidR="00E42448" w14:paraId="18973D44" w14:textId="77777777" w:rsidTr="00345119">
        <w:tc>
          <w:tcPr>
            <w:tcW w:w="9576" w:type="dxa"/>
          </w:tcPr>
          <w:p w14:paraId="62600471" w14:textId="1FCDB402" w:rsidR="008423E4" w:rsidRPr="00861995" w:rsidRDefault="0030493B" w:rsidP="00153B08">
            <w:pPr>
              <w:jc w:val="right"/>
            </w:pPr>
            <w:r>
              <w:t xml:space="preserve">By: </w:t>
            </w:r>
            <w:r w:rsidR="001814D6">
              <w:t>Creighton</w:t>
            </w:r>
          </w:p>
        </w:tc>
      </w:tr>
      <w:tr w:rsidR="00E42448" w14:paraId="5603C157" w14:textId="77777777" w:rsidTr="00345119">
        <w:tc>
          <w:tcPr>
            <w:tcW w:w="9576" w:type="dxa"/>
          </w:tcPr>
          <w:p w14:paraId="7D1627DA" w14:textId="3B0C396C" w:rsidR="008423E4" w:rsidRPr="00861995" w:rsidRDefault="0030493B" w:rsidP="00153B08">
            <w:pPr>
              <w:jc w:val="right"/>
            </w:pPr>
            <w:r>
              <w:t>Higher Education</w:t>
            </w:r>
          </w:p>
        </w:tc>
      </w:tr>
      <w:tr w:rsidR="00E42448" w14:paraId="1CF6B56D" w14:textId="77777777" w:rsidTr="00345119">
        <w:tc>
          <w:tcPr>
            <w:tcW w:w="9576" w:type="dxa"/>
          </w:tcPr>
          <w:p w14:paraId="691D1D37" w14:textId="5CFF9382" w:rsidR="008423E4" w:rsidRDefault="0030493B" w:rsidP="00153B08">
            <w:pPr>
              <w:jc w:val="right"/>
            </w:pPr>
            <w:r>
              <w:t>Committee Report (Substituted)</w:t>
            </w:r>
          </w:p>
        </w:tc>
      </w:tr>
    </w:tbl>
    <w:p w14:paraId="3F9AE666" w14:textId="77777777" w:rsidR="008423E4" w:rsidRDefault="008423E4" w:rsidP="00153B08">
      <w:pPr>
        <w:tabs>
          <w:tab w:val="right" w:pos="9360"/>
        </w:tabs>
      </w:pPr>
    </w:p>
    <w:p w14:paraId="34859BB1" w14:textId="77777777" w:rsidR="008423E4" w:rsidRDefault="008423E4" w:rsidP="00153B08"/>
    <w:p w14:paraId="04B29777" w14:textId="77777777" w:rsidR="008423E4" w:rsidRDefault="008423E4" w:rsidP="00153B0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42448" w14:paraId="3FA3F2F9" w14:textId="77777777" w:rsidTr="00345119">
        <w:tc>
          <w:tcPr>
            <w:tcW w:w="9576" w:type="dxa"/>
          </w:tcPr>
          <w:p w14:paraId="5269729E" w14:textId="77777777" w:rsidR="008423E4" w:rsidRPr="00A8133F" w:rsidRDefault="0030493B" w:rsidP="00153B0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25EEEB1" w14:textId="77777777" w:rsidR="008423E4" w:rsidRDefault="008423E4" w:rsidP="00153B08"/>
          <w:p w14:paraId="63E8BA9E" w14:textId="2FE5FC7F" w:rsidR="00C61A21" w:rsidRDefault="0030493B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C61A21">
              <w:t xml:space="preserve">The COVID-19 pandemic led to widespread adoption of remote work policies in many fields, including higher education. While certain institutions of higher education maintain remote work options, </w:t>
            </w:r>
            <w:r w:rsidR="00AB3CE7">
              <w:t xml:space="preserve">the bill sponsor has informed the committee that </w:t>
            </w:r>
            <w:r w:rsidRPr="00C61A21">
              <w:t xml:space="preserve">students and faculty may benefit from in-person collaboration and access. A 2019 study published in </w:t>
            </w:r>
            <w:r w:rsidR="00192008" w:rsidRPr="00FF3267">
              <w:rPr>
                <w:i/>
                <w:iCs/>
              </w:rPr>
              <w:t>T</w:t>
            </w:r>
            <w:r w:rsidRPr="00FF3267">
              <w:rPr>
                <w:i/>
                <w:iCs/>
              </w:rPr>
              <w:t>he Review of Higher Education</w:t>
            </w:r>
            <w:r w:rsidRPr="00C61A21">
              <w:t xml:space="preserve"> demonstrated that engagement with faculty and peers positively impacts student outcomes among a nationally representative sample of community college students. C.S.S.B. 2615 proposes to standardize telework policies</w:t>
            </w:r>
            <w:r w:rsidR="00CF20BE">
              <w:t xml:space="preserve"> for public institutions of higher education</w:t>
            </w:r>
            <w:r w:rsidRPr="00C61A21">
              <w:t xml:space="preserve"> by requiring in-person work for most roles with certain exceptions.</w:t>
            </w:r>
          </w:p>
          <w:p w14:paraId="02A2EE7D" w14:textId="77777777" w:rsidR="008423E4" w:rsidRPr="00E26B13" w:rsidRDefault="008423E4" w:rsidP="00153B08">
            <w:pPr>
              <w:rPr>
                <w:b/>
              </w:rPr>
            </w:pPr>
          </w:p>
        </w:tc>
      </w:tr>
      <w:tr w:rsidR="00E42448" w14:paraId="7917BFAF" w14:textId="77777777" w:rsidTr="00345119">
        <w:tc>
          <w:tcPr>
            <w:tcW w:w="9576" w:type="dxa"/>
          </w:tcPr>
          <w:p w14:paraId="0FAD11D4" w14:textId="77777777" w:rsidR="0017725B" w:rsidRDefault="0030493B" w:rsidP="00153B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D91B48C" w14:textId="77777777" w:rsidR="0017725B" w:rsidRDefault="0017725B" w:rsidP="00153B08">
            <w:pPr>
              <w:rPr>
                <w:b/>
                <w:u w:val="single"/>
              </w:rPr>
            </w:pPr>
          </w:p>
          <w:p w14:paraId="642D3CBC" w14:textId="367FDAD4" w:rsidR="00742F3D" w:rsidRPr="00742F3D" w:rsidRDefault="0030493B" w:rsidP="00153B08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8A8A6E6" w14:textId="77777777" w:rsidR="0017725B" w:rsidRPr="0017725B" w:rsidRDefault="0017725B" w:rsidP="00153B08">
            <w:pPr>
              <w:rPr>
                <w:b/>
                <w:u w:val="single"/>
              </w:rPr>
            </w:pPr>
          </w:p>
        </w:tc>
      </w:tr>
      <w:tr w:rsidR="00E42448" w14:paraId="41A75520" w14:textId="77777777" w:rsidTr="00345119">
        <w:tc>
          <w:tcPr>
            <w:tcW w:w="9576" w:type="dxa"/>
          </w:tcPr>
          <w:p w14:paraId="1F219FC7" w14:textId="77777777" w:rsidR="008423E4" w:rsidRPr="00A8133F" w:rsidRDefault="0030493B" w:rsidP="00153B0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7FB4ADD" w14:textId="77777777" w:rsidR="008423E4" w:rsidRDefault="008423E4" w:rsidP="00153B08"/>
          <w:p w14:paraId="186C1226" w14:textId="2CFEDB2D" w:rsidR="00742F3D" w:rsidRDefault="0030493B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742F3D">
              <w:t xml:space="preserve">Texas Higher Education Coordinating Board </w:t>
            </w:r>
            <w:r>
              <w:t>in SECTION 1 of this bill.</w:t>
            </w:r>
          </w:p>
          <w:p w14:paraId="3288B57D" w14:textId="77777777" w:rsidR="008423E4" w:rsidRPr="00E21FDC" w:rsidRDefault="008423E4" w:rsidP="00153B08">
            <w:pPr>
              <w:rPr>
                <w:b/>
              </w:rPr>
            </w:pPr>
          </w:p>
        </w:tc>
      </w:tr>
      <w:tr w:rsidR="00E42448" w14:paraId="2A1FE2A9" w14:textId="77777777" w:rsidTr="00345119">
        <w:tc>
          <w:tcPr>
            <w:tcW w:w="9576" w:type="dxa"/>
          </w:tcPr>
          <w:p w14:paraId="4B7988DD" w14:textId="77777777" w:rsidR="008423E4" w:rsidRPr="00A8133F" w:rsidRDefault="0030493B" w:rsidP="00153B0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08450C4" w14:textId="77777777" w:rsidR="008423E4" w:rsidRDefault="008423E4" w:rsidP="00153B08"/>
          <w:p w14:paraId="3F1B37CF" w14:textId="73C1FD94" w:rsidR="009C36CD" w:rsidRDefault="0030493B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E51D0F">
              <w:t xml:space="preserve">S.B. 2615 amends the Education Code to </w:t>
            </w:r>
            <w:r w:rsidR="0033690A">
              <w:t>prohibit</w:t>
            </w:r>
            <w:r w:rsidR="001247C7">
              <w:t xml:space="preserve"> </w:t>
            </w:r>
            <w:r w:rsidR="00E51D0F">
              <w:t xml:space="preserve">a public institution of higher education </w:t>
            </w:r>
            <w:r w:rsidR="0033690A">
              <w:t xml:space="preserve">from </w:t>
            </w:r>
            <w:r w:rsidR="00E51D0F">
              <w:t>allow</w:t>
            </w:r>
            <w:r w:rsidR="0033690A">
              <w:t>ing</w:t>
            </w:r>
            <w:r w:rsidR="00E51D0F" w:rsidRPr="00E51D0F">
              <w:t xml:space="preserve"> </w:t>
            </w:r>
            <w:r>
              <w:t xml:space="preserve">telework for </w:t>
            </w:r>
            <w:r w:rsidR="00E51D0F" w:rsidRPr="00E51D0F">
              <w:t xml:space="preserve">an employee </w:t>
            </w:r>
            <w:r w:rsidR="00874015">
              <w:t xml:space="preserve">except as provided by the bill's provisions. </w:t>
            </w:r>
            <w:r>
              <w:t xml:space="preserve">The bill defines "telework" as </w:t>
            </w:r>
            <w:r w:rsidRPr="00C87B7A">
              <w:t>a work arrangement that allows an employee of an institution of higher education to conduct on a regular basis all or some institutional business at a place other than the employee's regular or assigned temporary place of employment during all or a portion of the employee's established work hours</w:t>
            </w:r>
            <w:r w:rsidRPr="00766DBD">
              <w:t xml:space="preserve">. </w:t>
            </w:r>
            <w:r w:rsidR="00874015" w:rsidRPr="00766DBD">
              <w:t xml:space="preserve">Accordingly, the bill authorizes </w:t>
            </w:r>
            <w:r w:rsidR="0033690A" w:rsidRPr="00766DBD">
              <w:t>an</w:t>
            </w:r>
            <w:r w:rsidR="00874015" w:rsidRPr="00766DBD">
              <w:t xml:space="preserve"> institution </w:t>
            </w:r>
            <w:r w:rsidR="00AE6750" w:rsidRPr="00766DBD">
              <w:t xml:space="preserve">of higher education </w:t>
            </w:r>
            <w:r w:rsidR="00874015" w:rsidRPr="00766DBD">
              <w:t>to allow</w:t>
            </w:r>
            <w:r>
              <w:t xml:space="preserve"> </w:t>
            </w:r>
            <w:r>
              <w:t>telework for</w:t>
            </w:r>
            <w:r w:rsidR="00874015">
              <w:t xml:space="preserve"> an employee on a temporary or permanent basis if the e</w:t>
            </w:r>
            <w:r w:rsidR="00E51D0F">
              <w:t>mployee</w:t>
            </w:r>
            <w:r w:rsidR="001247C7">
              <w:t>, as follows</w:t>
            </w:r>
            <w:r w:rsidR="00E51D0F">
              <w:t>:</w:t>
            </w:r>
          </w:p>
          <w:p w14:paraId="16F472DC" w14:textId="17D1B0A8" w:rsidR="00E51D0F" w:rsidRDefault="0030493B" w:rsidP="00153B0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has a temporary illness;</w:t>
            </w:r>
          </w:p>
          <w:p w14:paraId="506BA1DC" w14:textId="46495D71" w:rsidR="00E51D0F" w:rsidRDefault="0030493B" w:rsidP="00153B0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has a temporary or permanent medical condition or disability requiring the institution</w:t>
            </w:r>
            <w:r w:rsidR="00181DB6">
              <w:t xml:space="preserve"> </w:t>
            </w:r>
            <w:r>
              <w:t xml:space="preserve">to make a reasonable accommodation under state or federal law for the </w:t>
            </w:r>
            <w:r w:rsidR="00C87B7A">
              <w:t>telework</w:t>
            </w:r>
            <w:r>
              <w:t xml:space="preserve">; </w:t>
            </w:r>
          </w:p>
          <w:p w14:paraId="0418FF26" w14:textId="0792848E" w:rsidR="00E51D0F" w:rsidRDefault="0030493B" w:rsidP="00153B0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is employed in a nonteaching position and:</w:t>
            </w:r>
          </w:p>
          <w:p w14:paraId="1A39F1BA" w14:textId="3D4F7190" w:rsidR="00E51D0F" w:rsidRDefault="0030493B" w:rsidP="00153B08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has demonstrated the ability to work well with minimal supervision;</w:t>
            </w:r>
          </w:p>
          <w:p w14:paraId="2BBE8165" w14:textId="68ED2C69" w:rsidR="00E51D0F" w:rsidRDefault="0030493B" w:rsidP="00153B08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has a deep understanding of the employee's duties and responsibilities;</w:t>
            </w:r>
          </w:p>
          <w:p w14:paraId="57421690" w14:textId="6DCDB63F" w:rsidR="00E51D0F" w:rsidRDefault="0030493B" w:rsidP="00153B08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has demonstrated the ability to manage the employee's time;</w:t>
            </w:r>
          </w:p>
          <w:p w14:paraId="4A26A48C" w14:textId="07D583A1" w:rsidR="00E51D0F" w:rsidRDefault="0030493B" w:rsidP="00153B08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has a record of thoroughly and efficiently accomplishing the employee's duties; and</w:t>
            </w:r>
          </w:p>
          <w:p w14:paraId="740E4651" w14:textId="1AF40086" w:rsidR="00E51D0F" w:rsidRDefault="0030493B" w:rsidP="00153B08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is employed in a position that does not require the employee's day-to-day physical presence at the institution</w:t>
            </w:r>
            <w:r w:rsidR="00181DB6">
              <w:t xml:space="preserve"> </w:t>
            </w:r>
            <w:r>
              <w:t>or in-person interaction with students, administration, or other employees</w:t>
            </w:r>
            <w:r w:rsidR="00C87B7A">
              <w:t>;</w:t>
            </w:r>
          </w:p>
          <w:p w14:paraId="57B20A45" w14:textId="1DC4CC5B" w:rsidR="00C87B7A" w:rsidRDefault="0030493B" w:rsidP="00153B08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is employed in a teaching position but is not a faculty member of </w:t>
            </w:r>
            <w:r w:rsidRPr="00766DBD">
              <w:t>the institution;</w:t>
            </w:r>
          </w:p>
          <w:p w14:paraId="1A302791" w14:textId="3A5A6628" w:rsidR="00C87B7A" w:rsidRDefault="0030493B" w:rsidP="00153B08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is employed in a teaching position and is currently assigned to teach only a course or program that </w:t>
            </w:r>
            <w:r w:rsidRPr="00766DBD">
              <w:t xml:space="preserve">the institution </w:t>
            </w:r>
            <w:r>
              <w:t>has:</w:t>
            </w:r>
          </w:p>
          <w:p w14:paraId="6B6FC921" w14:textId="77777777" w:rsidR="00C87B7A" w:rsidRDefault="0030493B" w:rsidP="00153B08">
            <w:pPr>
              <w:pStyle w:val="Header"/>
              <w:numPr>
                <w:ilvl w:val="1"/>
                <w:numId w:val="3"/>
              </w:numPr>
              <w:jc w:val="both"/>
            </w:pPr>
            <w:r>
              <w:t xml:space="preserve">approved for remote </w:t>
            </w:r>
            <w:r>
              <w:t>instruction in accordance with the institution's academic oversight or faculty governance procedures; and</w:t>
            </w:r>
          </w:p>
          <w:p w14:paraId="54593E37" w14:textId="6B3D1067" w:rsidR="00C87B7A" w:rsidRDefault="0030493B" w:rsidP="00153B08">
            <w:pPr>
              <w:pStyle w:val="Header"/>
              <w:numPr>
                <w:ilvl w:val="1"/>
                <w:numId w:val="3"/>
              </w:numPr>
              <w:jc w:val="both"/>
            </w:pPr>
            <w:r>
              <w:t xml:space="preserve">designated as distance education or </w:t>
            </w:r>
            <w:r w:rsidR="003B7D14">
              <w:t xml:space="preserve">as </w:t>
            </w:r>
            <w:r>
              <w:t>a dual credit course or program provided by the institution;</w:t>
            </w:r>
          </w:p>
          <w:p w14:paraId="5CEAB4C1" w14:textId="66B2EC04" w:rsidR="00C87B7A" w:rsidRDefault="0030493B" w:rsidP="00153B08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is employed as a faculty member and is on a temporary research assignment located off the </w:t>
            </w:r>
            <w:r w:rsidRPr="00766DBD">
              <w:t>institution</w:t>
            </w:r>
            <w:r w:rsidR="00766DBD">
              <w:t xml:space="preserve">'s </w:t>
            </w:r>
            <w:r>
              <w:t>campus; or</w:t>
            </w:r>
          </w:p>
          <w:p w14:paraId="6558BB2C" w14:textId="1B92E18B" w:rsidR="00C87B7A" w:rsidRDefault="0030493B" w:rsidP="00153B08">
            <w:pPr>
              <w:pStyle w:val="Header"/>
              <w:numPr>
                <w:ilvl w:val="0"/>
                <w:numId w:val="3"/>
              </w:numPr>
              <w:jc w:val="both"/>
            </w:pPr>
            <w:r>
              <w:t>is employed as a faculty member who provides telehealth services as part of the employee's assigned clinical, research, or instructional duties.</w:t>
            </w:r>
          </w:p>
          <w:p w14:paraId="3D08E3CF" w14:textId="374DD820" w:rsidR="00E51D0F" w:rsidRDefault="0030493B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66DBD">
              <w:t xml:space="preserve">The bill defines "faculty" by reference to </w:t>
            </w:r>
            <w:r w:rsidR="00162510" w:rsidRPr="00766DBD">
              <w:t>statutory provisions relating to faculty development leaves of absence.</w:t>
            </w:r>
            <w:r w:rsidR="00162510">
              <w:t xml:space="preserve"> The bill expressly does</w:t>
            </w:r>
            <w:r w:rsidR="00162510" w:rsidRPr="00162510">
              <w:t xml:space="preserve"> not prohibit an employee of an institution of higher education from providing instruction for a dual credit course or program at the campus of a </w:t>
            </w:r>
            <w:r w:rsidR="00F8716C">
              <w:t xml:space="preserve">public </w:t>
            </w:r>
            <w:r w:rsidR="00162510" w:rsidRPr="00162510">
              <w:t>school district or open-enrollment charter school</w:t>
            </w:r>
            <w:r w:rsidR="00162510">
              <w:t xml:space="preserve">. </w:t>
            </w:r>
            <w:r>
              <w:t xml:space="preserve">The bill authorizes the </w:t>
            </w:r>
            <w:r w:rsidRPr="00E51D0F">
              <w:t xml:space="preserve">Texas Higher Education Coordinating Board </w:t>
            </w:r>
            <w:r>
              <w:t>to</w:t>
            </w:r>
            <w:r w:rsidRPr="00E51D0F">
              <w:t xml:space="preserve"> adopt rules as necessary to implement</w:t>
            </w:r>
            <w:r>
              <w:t xml:space="preserve"> the bill's provisions. </w:t>
            </w:r>
          </w:p>
          <w:p w14:paraId="1B322031" w14:textId="77777777" w:rsidR="00E51D0F" w:rsidRDefault="00E51D0F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87243A7" w14:textId="7E25A962" w:rsidR="00E51D0F" w:rsidRPr="009C36CD" w:rsidRDefault="0030493B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C.S.S.B. 2615 applies beginning with the 2025-2026 academic year. </w:t>
            </w:r>
          </w:p>
          <w:p w14:paraId="1238DA6A" w14:textId="77777777" w:rsidR="008423E4" w:rsidRPr="00835628" w:rsidRDefault="008423E4" w:rsidP="00153B08">
            <w:pPr>
              <w:rPr>
                <w:b/>
              </w:rPr>
            </w:pPr>
          </w:p>
        </w:tc>
      </w:tr>
      <w:tr w:rsidR="00E42448" w14:paraId="4B2233FE" w14:textId="77777777" w:rsidTr="00345119">
        <w:tc>
          <w:tcPr>
            <w:tcW w:w="9576" w:type="dxa"/>
          </w:tcPr>
          <w:p w14:paraId="2447322E" w14:textId="77777777" w:rsidR="008423E4" w:rsidRPr="00A8133F" w:rsidRDefault="0030493B" w:rsidP="00153B0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A5CDECF" w14:textId="77777777" w:rsidR="008423E4" w:rsidRDefault="008423E4" w:rsidP="00153B08"/>
          <w:p w14:paraId="37DC8BB5" w14:textId="61FACB62" w:rsidR="008423E4" w:rsidRPr="003624F2" w:rsidRDefault="0030493B" w:rsidP="00153B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22E876CC" w14:textId="77777777" w:rsidR="008423E4" w:rsidRPr="00233FDB" w:rsidRDefault="008423E4" w:rsidP="00153B08">
            <w:pPr>
              <w:rPr>
                <w:b/>
              </w:rPr>
            </w:pPr>
          </w:p>
        </w:tc>
      </w:tr>
      <w:tr w:rsidR="00E42448" w14:paraId="7310542A" w14:textId="77777777" w:rsidTr="00345119">
        <w:tc>
          <w:tcPr>
            <w:tcW w:w="9576" w:type="dxa"/>
          </w:tcPr>
          <w:p w14:paraId="2AF67F8F" w14:textId="77777777" w:rsidR="001814D6" w:rsidRDefault="0030493B" w:rsidP="00153B0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14:paraId="2E3CDA89" w14:textId="77777777" w:rsidR="00345CA3" w:rsidRDefault="00345CA3" w:rsidP="00153B08">
            <w:pPr>
              <w:jc w:val="both"/>
            </w:pPr>
          </w:p>
          <w:p w14:paraId="4855BC85" w14:textId="0831B695" w:rsidR="00345CA3" w:rsidRDefault="0030493B" w:rsidP="00153B08">
            <w:pPr>
              <w:jc w:val="both"/>
            </w:pPr>
            <w:r>
              <w:t>While C.S.S.B. 2615 may differ from the engrossed in minor or nonsubstantive ways, the following summarizes the substantial differences between the engrossed and committee substitute versions of the bill.</w:t>
            </w:r>
          </w:p>
          <w:p w14:paraId="2FFE863D" w14:textId="77777777" w:rsidR="00345CA3" w:rsidRPr="00345CA3" w:rsidRDefault="00345CA3" w:rsidP="00153B08">
            <w:pPr>
              <w:jc w:val="both"/>
            </w:pPr>
          </w:p>
          <w:p w14:paraId="39291402" w14:textId="5436095C" w:rsidR="00D37192" w:rsidRDefault="0030493B" w:rsidP="00153B08">
            <w:pPr>
              <w:jc w:val="both"/>
              <w:rPr>
                <w:bCs/>
              </w:rPr>
            </w:pPr>
            <w:r>
              <w:rPr>
                <w:bCs/>
              </w:rPr>
              <w:t xml:space="preserve">The substitute </w:t>
            </w:r>
            <w:r w:rsidR="00F8716C">
              <w:rPr>
                <w:bCs/>
              </w:rPr>
              <w:t>replaces references relating to "remote work," as in the engrossed, with</w:t>
            </w:r>
            <w:r w:rsidR="00CF20BE">
              <w:rPr>
                <w:bCs/>
              </w:rPr>
              <w:t xml:space="preserve"> references to</w:t>
            </w:r>
            <w:r w:rsidR="00F8716C">
              <w:rPr>
                <w:bCs/>
              </w:rPr>
              <w:t xml:space="preserve"> "telework." Accordingly, the substitute defines "telework," which the engrossed did not. </w:t>
            </w:r>
            <w:r w:rsidR="00A665E7">
              <w:rPr>
                <w:bCs/>
              </w:rPr>
              <w:t>T</w:t>
            </w:r>
            <w:r w:rsidR="00E95AF9">
              <w:rPr>
                <w:bCs/>
              </w:rPr>
              <w:t>he substitute</w:t>
            </w:r>
            <w:r w:rsidR="00531A19">
              <w:rPr>
                <w:bCs/>
              </w:rPr>
              <w:t xml:space="preserve"> expands the conditions under which an institution of higher education may allow telework for an employee </w:t>
            </w:r>
            <w:r w:rsidR="00531A19" w:rsidRPr="00531A19">
              <w:rPr>
                <w:bCs/>
              </w:rPr>
              <w:t>on a temporary or permanent basis</w:t>
            </w:r>
            <w:r w:rsidR="00531A19">
              <w:rPr>
                <w:bCs/>
              </w:rPr>
              <w:t xml:space="preserve"> to </w:t>
            </w:r>
            <w:r w:rsidR="00E95AF9">
              <w:rPr>
                <w:bCs/>
              </w:rPr>
              <w:t>include the following</w:t>
            </w:r>
            <w:r w:rsidR="00A665E7">
              <w:rPr>
                <w:bCs/>
              </w:rPr>
              <w:t>, wh</w:t>
            </w:r>
            <w:r w:rsidR="00531A19">
              <w:rPr>
                <w:bCs/>
              </w:rPr>
              <w:t>ich</w:t>
            </w:r>
            <w:r w:rsidR="00A665E7">
              <w:rPr>
                <w:bCs/>
              </w:rPr>
              <w:t xml:space="preserve"> the engrossed did not</w:t>
            </w:r>
            <w:r w:rsidR="00766DBD">
              <w:rPr>
                <w:bCs/>
              </w:rPr>
              <w:t xml:space="preserve"> include</w:t>
            </w:r>
            <w:r w:rsidR="00A665E7">
              <w:rPr>
                <w:bCs/>
              </w:rPr>
              <w:t>:</w:t>
            </w:r>
          </w:p>
          <w:p w14:paraId="12589F2E" w14:textId="3811E1BE" w:rsidR="00E95AF9" w:rsidRPr="00E95AF9" w:rsidRDefault="0030493B" w:rsidP="00153B08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the employee </w:t>
            </w:r>
            <w:r w:rsidRPr="00E95AF9">
              <w:rPr>
                <w:bCs/>
              </w:rPr>
              <w:t>is employed in a teaching position but is not a faculty member of the institution;</w:t>
            </w:r>
          </w:p>
          <w:p w14:paraId="6CDF6766" w14:textId="210E0F44" w:rsidR="00E95AF9" w:rsidRPr="00E95AF9" w:rsidRDefault="0030493B" w:rsidP="00153B08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the employee </w:t>
            </w:r>
            <w:r w:rsidRPr="00E95AF9">
              <w:rPr>
                <w:bCs/>
              </w:rPr>
              <w:t xml:space="preserve">is employed in a teaching position and is currently assigned to teach only a course or </w:t>
            </w:r>
            <w:r w:rsidRPr="00E95AF9">
              <w:rPr>
                <w:bCs/>
              </w:rPr>
              <w:t>program that the institution has:</w:t>
            </w:r>
          </w:p>
          <w:p w14:paraId="3EBFD469" w14:textId="77777777" w:rsidR="00A665E7" w:rsidRDefault="0030493B" w:rsidP="00153B08">
            <w:pPr>
              <w:pStyle w:val="ListParagraph"/>
              <w:numPr>
                <w:ilvl w:val="1"/>
                <w:numId w:val="5"/>
              </w:numPr>
              <w:contextualSpacing w:val="0"/>
              <w:jc w:val="both"/>
              <w:rPr>
                <w:bCs/>
              </w:rPr>
            </w:pPr>
            <w:r w:rsidRPr="00E95AF9">
              <w:rPr>
                <w:bCs/>
              </w:rPr>
              <w:t>approved for remote instruction in accordance with the institution's academic oversight or faculty governance procedures; and</w:t>
            </w:r>
          </w:p>
          <w:p w14:paraId="672B01D0" w14:textId="05D0DD12" w:rsidR="00E95AF9" w:rsidRPr="00A665E7" w:rsidRDefault="0030493B" w:rsidP="00153B08">
            <w:pPr>
              <w:pStyle w:val="ListParagraph"/>
              <w:numPr>
                <w:ilvl w:val="1"/>
                <w:numId w:val="5"/>
              </w:numPr>
              <w:contextualSpacing w:val="0"/>
              <w:jc w:val="both"/>
              <w:rPr>
                <w:bCs/>
              </w:rPr>
            </w:pPr>
            <w:r w:rsidRPr="00A665E7">
              <w:rPr>
                <w:bCs/>
              </w:rPr>
              <w:t xml:space="preserve">designated as distance education or </w:t>
            </w:r>
            <w:r w:rsidR="004C6F33">
              <w:rPr>
                <w:bCs/>
              </w:rPr>
              <w:t xml:space="preserve">as </w:t>
            </w:r>
            <w:r w:rsidRPr="00A665E7">
              <w:rPr>
                <w:bCs/>
              </w:rPr>
              <w:t>a dual credit course or program provided by the institution;</w:t>
            </w:r>
          </w:p>
          <w:p w14:paraId="77F17475" w14:textId="4C9CB14B" w:rsidR="00E95AF9" w:rsidRPr="00E95AF9" w:rsidRDefault="0030493B" w:rsidP="00153B08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the employee </w:t>
            </w:r>
            <w:r w:rsidRPr="00E95AF9">
              <w:rPr>
                <w:bCs/>
              </w:rPr>
              <w:t>is employed as a faculty member and is on a temporary research assignment located off the institution</w:t>
            </w:r>
            <w:r w:rsidR="004C6F33">
              <w:rPr>
                <w:bCs/>
              </w:rPr>
              <w:t xml:space="preserve">'s </w:t>
            </w:r>
            <w:r w:rsidRPr="00E95AF9">
              <w:rPr>
                <w:bCs/>
              </w:rPr>
              <w:t xml:space="preserve">campus; </w:t>
            </w:r>
            <w:r w:rsidR="004C6F33">
              <w:rPr>
                <w:bCs/>
              </w:rPr>
              <w:t>or</w:t>
            </w:r>
          </w:p>
          <w:p w14:paraId="50067290" w14:textId="5D5BDB67" w:rsidR="00E95AF9" w:rsidRPr="00E95AF9" w:rsidRDefault="0030493B" w:rsidP="00153B08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the employee </w:t>
            </w:r>
            <w:r w:rsidRPr="00E95AF9">
              <w:rPr>
                <w:bCs/>
              </w:rPr>
              <w:t>is employed as a faculty member who provides telehealth services as part of the employee's assigned clinical, research, or instructional duties.</w:t>
            </w:r>
          </w:p>
          <w:p w14:paraId="018C0108" w14:textId="043CB172" w:rsidR="00345CA3" w:rsidRPr="00A665E7" w:rsidRDefault="0030493B" w:rsidP="00153B08">
            <w:pPr>
              <w:jc w:val="both"/>
              <w:rPr>
                <w:bCs/>
              </w:rPr>
            </w:pPr>
            <w:r>
              <w:rPr>
                <w:bCs/>
              </w:rPr>
              <w:t xml:space="preserve">The substitute </w:t>
            </w:r>
            <w:r w:rsidR="002519A0">
              <w:rPr>
                <w:bCs/>
              </w:rPr>
              <w:t>includes provision</w:t>
            </w:r>
            <w:r w:rsidR="004C6F33">
              <w:rPr>
                <w:bCs/>
              </w:rPr>
              <w:t>s</w:t>
            </w:r>
            <w:r w:rsidR="002519A0">
              <w:rPr>
                <w:bCs/>
              </w:rPr>
              <w:t xml:space="preserve"> </w:t>
            </w:r>
            <w:r>
              <w:rPr>
                <w:bCs/>
              </w:rPr>
              <w:t>defin</w:t>
            </w:r>
            <w:r w:rsidR="002519A0">
              <w:rPr>
                <w:bCs/>
              </w:rPr>
              <w:t>ing</w:t>
            </w:r>
            <w:r w:rsidR="00531A19">
              <w:rPr>
                <w:bCs/>
              </w:rPr>
              <w:t xml:space="preserve"> </w:t>
            </w:r>
            <w:r w:rsidRPr="00A665E7">
              <w:rPr>
                <w:bCs/>
              </w:rPr>
              <w:t xml:space="preserve">"faculty" </w:t>
            </w:r>
            <w:r w:rsidR="002519A0">
              <w:rPr>
                <w:bCs/>
              </w:rPr>
              <w:t xml:space="preserve">and </w:t>
            </w:r>
            <w:r>
              <w:rPr>
                <w:bCs/>
              </w:rPr>
              <w:t>establis</w:t>
            </w:r>
            <w:r w:rsidR="002519A0">
              <w:rPr>
                <w:bCs/>
              </w:rPr>
              <w:t>hing</w:t>
            </w:r>
            <w:r>
              <w:rPr>
                <w:bCs/>
              </w:rPr>
              <w:t xml:space="preserve"> that the bill's provisions </w:t>
            </w:r>
            <w:r w:rsidRPr="00A665E7">
              <w:rPr>
                <w:bCs/>
              </w:rPr>
              <w:t xml:space="preserve">do not prohibit an employee of an institution of higher education from providing instruction for a dual credit course or program at the campus of a </w:t>
            </w:r>
            <w:r w:rsidR="004C6F33">
              <w:rPr>
                <w:bCs/>
              </w:rPr>
              <w:t xml:space="preserve">public school </w:t>
            </w:r>
            <w:r w:rsidRPr="00A665E7">
              <w:rPr>
                <w:bCs/>
              </w:rPr>
              <w:t>district or</w:t>
            </w:r>
            <w:r w:rsidR="004C6F33">
              <w:rPr>
                <w:bCs/>
              </w:rPr>
              <w:t xml:space="preserve"> </w:t>
            </w:r>
            <w:r w:rsidR="004C6F33" w:rsidRPr="00162510">
              <w:t>open-enrollment</w:t>
            </w:r>
            <w:r w:rsidRPr="00A665E7">
              <w:rPr>
                <w:bCs/>
              </w:rPr>
              <w:t xml:space="preserve"> charter school</w:t>
            </w:r>
            <w:r w:rsidR="002519A0">
              <w:rPr>
                <w:bCs/>
              </w:rPr>
              <w:t>, which were absent from the engrossed.</w:t>
            </w:r>
          </w:p>
        </w:tc>
      </w:tr>
      <w:tr w:rsidR="00E42448" w14:paraId="5069F604" w14:textId="77777777" w:rsidTr="00345119">
        <w:tc>
          <w:tcPr>
            <w:tcW w:w="9576" w:type="dxa"/>
          </w:tcPr>
          <w:p w14:paraId="5D1381DD" w14:textId="77777777" w:rsidR="001814D6" w:rsidRPr="009C1E9A" w:rsidRDefault="001814D6" w:rsidP="00153B08">
            <w:pPr>
              <w:rPr>
                <w:b/>
                <w:u w:val="single"/>
              </w:rPr>
            </w:pPr>
          </w:p>
        </w:tc>
      </w:tr>
      <w:tr w:rsidR="00E42448" w14:paraId="67FCEE3D" w14:textId="77777777" w:rsidTr="00345119">
        <w:tc>
          <w:tcPr>
            <w:tcW w:w="9576" w:type="dxa"/>
          </w:tcPr>
          <w:p w14:paraId="58E51900" w14:textId="77777777" w:rsidR="001814D6" w:rsidRPr="001814D6" w:rsidRDefault="001814D6" w:rsidP="00153B08">
            <w:pPr>
              <w:jc w:val="both"/>
            </w:pPr>
          </w:p>
        </w:tc>
      </w:tr>
    </w:tbl>
    <w:p w14:paraId="7A3186D7" w14:textId="77777777" w:rsidR="008423E4" w:rsidRPr="00BE0E75" w:rsidRDefault="008423E4" w:rsidP="00153B08">
      <w:pPr>
        <w:jc w:val="both"/>
        <w:rPr>
          <w:rFonts w:ascii="Arial" w:hAnsi="Arial"/>
          <w:sz w:val="16"/>
          <w:szCs w:val="16"/>
        </w:rPr>
      </w:pPr>
    </w:p>
    <w:p w14:paraId="590ED1B4" w14:textId="77777777" w:rsidR="004108C3" w:rsidRPr="008423E4" w:rsidRDefault="004108C3" w:rsidP="00153B08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1462" w14:textId="77777777" w:rsidR="0030493B" w:rsidRDefault="0030493B">
      <w:r>
        <w:separator/>
      </w:r>
    </w:p>
  </w:endnote>
  <w:endnote w:type="continuationSeparator" w:id="0">
    <w:p w14:paraId="0DD31A3D" w14:textId="77777777" w:rsidR="0030493B" w:rsidRDefault="0030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B42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42448" w14:paraId="26D72805" w14:textId="77777777" w:rsidTr="009C1E9A">
      <w:trPr>
        <w:cantSplit/>
      </w:trPr>
      <w:tc>
        <w:tcPr>
          <w:tcW w:w="0" w:type="pct"/>
        </w:tcPr>
        <w:p w14:paraId="692B50A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DC15D2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E1E5B4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DA0BE0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AA63F4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42448" w14:paraId="115909DB" w14:textId="77777777" w:rsidTr="009C1E9A">
      <w:trPr>
        <w:cantSplit/>
      </w:trPr>
      <w:tc>
        <w:tcPr>
          <w:tcW w:w="0" w:type="pct"/>
        </w:tcPr>
        <w:p w14:paraId="2727006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46B520" w14:textId="5222AAC6" w:rsidR="00EC379B" w:rsidRPr="009C1E9A" w:rsidRDefault="0030493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32251-D</w:t>
          </w:r>
        </w:p>
      </w:tc>
      <w:tc>
        <w:tcPr>
          <w:tcW w:w="2453" w:type="pct"/>
        </w:tcPr>
        <w:p w14:paraId="199F5A54" w14:textId="099C2C54" w:rsidR="00EC379B" w:rsidRDefault="0030493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E33A6">
            <w:t>25.141.1589</w:t>
          </w:r>
          <w:r>
            <w:fldChar w:fldCharType="end"/>
          </w:r>
        </w:p>
      </w:tc>
    </w:tr>
    <w:tr w:rsidR="00E42448" w14:paraId="5C5620D8" w14:textId="77777777" w:rsidTr="009C1E9A">
      <w:trPr>
        <w:cantSplit/>
      </w:trPr>
      <w:tc>
        <w:tcPr>
          <w:tcW w:w="0" w:type="pct"/>
        </w:tcPr>
        <w:p w14:paraId="1FDBD90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0217313" w14:textId="5F03C471" w:rsidR="00EC379B" w:rsidRPr="009C1E9A" w:rsidRDefault="0030493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Substitute Document Number: 89R </w:t>
          </w:r>
          <w:r>
            <w:rPr>
              <w:rFonts w:ascii="Shruti" w:hAnsi="Shruti"/>
              <w:sz w:val="22"/>
            </w:rPr>
            <w:t>31963</w:t>
          </w:r>
        </w:p>
      </w:tc>
      <w:tc>
        <w:tcPr>
          <w:tcW w:w="2453" w:type="pct"/>
        </w:tcPr>
        <w:p w14:paraId="2E488D1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058DE5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42448" w14:paraId="640F9FD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F36E09F" w14:textId="77777777" w:rsidR="00EC379B" w:rsidRDefault="0030493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754320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673D38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8A4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7AD5" w14:textId="77777777" w:rsidR="0030493B" w:rsidRDefault="0030493B">
      <w:r>
        <w:separator/>
      </w:r>
    </w:p>
  </w:footnote>
  <w:footnote w:type="continuationSeparator" w:id="0">
    <w:p w14:paraId="2D308180" w14:textId="77777777" w:rsidR="0030493B" w:rsidRDefault="0030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21A0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081F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8CF6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4C4"/>
    <w:multiLevelType w:val="hybridMultilevel"/>
    <w:tmpl w:val="B08A3AEC"/>
    <w:lvl w:ilvl="0" w:tplc="21308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80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42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A2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EB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8E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41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26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22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024"/>
    <w:multiLevelType w:val="hybridMultilevel"/>
    <w:tmpl w:val="39A86486"/>
    <w:lvl w:ilvl="0" w:tplc="01184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2F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04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6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C8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E4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2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45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27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24CC8"/>
    <w:multiLevelType w:val="hybridMultilevel"/>
    <w:tmpl w:val="B23C2A58"/>
    <w:lvl w:ilvl="0" w:tplc="ED8E2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B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E1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09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27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A5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C7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CE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A1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5157"/>
    <w:multiLevelType w:val="hybridMultilevel"/>
    <w:tmpl w:val="864EF260"/>
    <w:lvl w:ilvl="0" w:tplc="FF8C2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8A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A4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0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68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C7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D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82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60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E224B"/>
    <w:multiLevelType w:val="hybridMultilevel"/>
    <w:tmpl w:val="BB1A58E4"/>
    <w:lvl w:ilvl="0" w:tplc="29029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20D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AB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4D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AF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E7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4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E1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E5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1481B"/>
    <w:multiLevelType w:val="hybridMultilevel"/>
    <w:tmpl w:val="0BF4DD18"/>
    <w:lvl w:ilvl="0" w:tplc="C45A6296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695C4CCC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8000149A" w:tentative="1">
      <w:start w:val="1"/>
      <w:numFmt w:val="lowerRoman"/>
      <w:lvlText w:val="%3."/>
      <w:lvlJc w:val="right"/>
      <w:pPr>
        <w:ind w:left="2160" w:hanging="180"/>
      </w:pPr>
    </w:lvl>
    <w:lvl w:ilvl="3" w:tplc="B4247B30" w:tentative="1">
      <w:start w:val="1"/>
      <w:numFmt w:val="decimal"/>
      <w:lvlText w:val="%4."/>
      <w:lvlJc w:val="left"/>
      <w:pPr>
        <w:ind w:left="2880" w:hanging="360"/>
      </w:pPr>
    </w:lvl>
    <w:lvl w:ilvl="4" w:tplc="62E081D8" w:tentative="1">
      <w:start w:val="1"/>
      <w:numFmt w:val="lowerLetter"/>
      <w:lvlText w:val="%5."/>
      <w:lvlJc w:val="left"/>
      <w:pPr>
        <w:ind w:left="3600" w:hanging="360"/>
      </w:pPr>
    </w:lvl>
    <w:lvl w:ilvl="5" w:tplc="C2D85A34" w:tentative="1">
      <w:start w:val="1"/>
      <w:numFmt w:val="lowerRoman"/>
      <w:lvlText w:val="%6."/>
      <w:lvlJc w:val="right"/>
      <w:pPr>
        <w:ind w:left="4320" w:hanging="180"/>
      </w:pPr>
    </w:lvl>
    <w:lvl w:ilvl="6" w:tplc="00422E56" w:tentative="1">
      <w:start w:val="1"/>
      <w:numFmt w:val="decimal"/>
      <w:lvlText w:val="%7."/>
      <w:lvlJc w:val="left"/>
      <w:pPr>
        <w:ind w:left="5040" w:hanging="360"/>
      </w:pPr>
    </w:lvl>
    <w:lvl w:ilvl="7" w:tplc="F0F81E28" w:tentative="1">
      <w:start w:val="1"/>
      <w:numFmt w:val="lowerLetter"/>
      <w:lvlText w:val="%8."/>
      <w:lvlJc w:val="left"/>
      <w:pPr>
        <w:ind w:left="5760" w:hanging="360"/>
      </w:pPr>
    </w:lvl>
    <w:lvl w:ilvl="8" w:tplc="60F4CD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12423">
    <w:abstractNumId w:val="0"/>
  </w:num>
  <w:num w:numId="2" w16cid:durableId="1816481591">
    <w:abstractNumId w:val="5"/>
  </w:num>
  <w:num w:numId="3" w16cid:durableId="7804565">
    <w:abstractNumId w:val="4"/>
  </w:num>
  <w:num w:numId="4" w16cid:durableId="283199185">
    <w:abstractNumId w:val="1"/>
  </w:num>
  <w:num w:numId="5" w16cid:durableId="394397241">
    <w:abstractNumId w:val="2"/>
  </w:num>
  <w:num w:numId="6" w16cid:durableId="7393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F"/>
    <w:rsid w:val="00000A70"/>
    <w:rsid w:val="000032B8"/>
    <w:rsid w:val="00003444"/>
    <w:rsid w:val="00003B06"/>
    <w:rsid w:val="000054B9"/>
    <w:rsid w:val="00006E88"/>
    <w:rsid w:val="00007461"/>
    <w:rsid w:val="0001117E"/>
    <w:rsid w:val="0001125F"/>
    <w:rsid w:val="0001338E"/>
    <w:rsid w:val="00013D24"/>
    <w:rsid w:val="00014AF0"/>
    <w:rsid w:val="000155D6"/>
    <w:rsid w:val="00015D4E"/>
    <w:rsid w:val="0001797B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2719"/>
    <w:rsid w:val="000532BD"/>
    <w:rsid w:val="000555E0"/>
    <w:rsid w:val="00055C12"/>
    <w:rsid w:val="000608B0"/>
    <w:rsid w:val="0006104C"/>
    <w:rsid w:val="0006147A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47C7"/>
    <w:rsid w:val="00127893"/>
    <w:rsid w:val="001308A5"/>
    <w:rsid w:val="001312BB"/>
    <w:rsid w:val="00137A55"/>
    <w:rsid w:val="00137D90"/>
    <w:rsid w:val="001412C9"/>
    <w:rsid w:val="00141FB6"/>
    <w:rsid w:val="00142F8E"/>
    <w:rsid w:val="00143C8B"/>
    <w:rsid w:val="00144A70"/>
    <w:rsid w:val="00147530"/>
    <w:rsid w:val="0015331F"/>
    <w:rsid w:val="00153B08"/>
    <w:rsid w:val="00156AB2"/>
    <w:rsid w:val="00160402"/>
    <w:rsid w:val="00160571"/>
    <w:rsid w:val="00161E93"/>
    <w:rsid w:val="00162510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4D6"/>
    <w:rsid w:val="00181DB6"/>
    <w:rsid w:val="001824ED"/>
    <w:rsid w:val="00183262"/>
    <w:rsid w:val="0018478F"/>
    <w:rsid w:val="00184B03"/>
    <w:rsid w:val="00185C59"/>
    <w:rsid w:val="00187C1B"/>
    <w:rsid w:val="001908AC"/>
    <w:rsid w:val="00190CFB"/>
    <w:rsid w:val="00192008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5D04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995"/>
    <w:rsid w:val="00224C37"/>
    <w:rsid w:val="002304DF"/>
    <w:rsid w:val="0023341D"/>
    <w:rsid w:val="002338DA"/>
    <w:rsid w:val="00233D66"/>
    <w:rsid w:val="00233FDB"/>
    <w:rsid w:val="00234F58"/>
    <w:rsid w:val="0023507D"/>
    <w:rsid w:val="00237DBC"/>
    <w:rsid w:val="0024077A"/>
    <w:rsid w:val="00241EC1"/>
    <w:rsid w:val="002431DA"/>
    <w:rsid w:val="0024691D"/>
    <w:rsid w:val="00247D27"/>
    <w:rsid w:val="00250A50"/>
    <w:rsid w:val="002519A0"/>
    <w:rsid w:val="00251ED5"/>
    <w:rsid w:val="002536F0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17BF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493B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90A"/>
    <w:rsid w:val="00336BA4"/>
    <w:rsid w:val="00336C7A"/>
    <w:rsid w:val="00337392"/>
    <w:rsid w:val="00337659"/>
    <w:rsid w:val="003427C9"/>
    <w:rsid w:val="00343A92"/>
    <w:rsid w:val="00344530"/>
    <w:rsid w:val="003446DC"/>
    <w:rsid w:val="00345CA3"/>
    <w:rsid w:val="00346C4B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B7D14"/>
    <w:rsid w:val="003C0411"/>
    <w:rsid w:val="003C1871"/>
    <w:rsid w:val="003C1C55"/>
    <w:rsid w:val="003C25EA"/>
    <w:rsid w:val="003C36FD"/>
    <w:rsid w:val="003C664C"/>
    <w:rsid w:val="003D21B8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57A5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622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6F33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3622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1A19"/>
    <w:rsid w:val="005336BD"/>
    <w:rsid w:val="00534A49"/>
    <w:rsid w:val="005363BB"/>
    <w:rsid w:val="00541B98"/>
    <w:rsid w:val="00543374"/>
    <w:rsid w:val="0054360F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75A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B74B8"/>
    <w:rsid w:val="005C1496"/>
    <w:rsid w:val="005C17C5"/>
    <w:rsid w:val="005C2B21"/>
    <w:rsid w:val="005C2C00"/>
    <w:rsid w:val="005C4C6F"/>
    <w:rsid w:val="005C5127"/>
    <w:rsid w:val="005C704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2DE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68EC"/>
    <w:rsid w:val="00617411"/>
    <w:rsid w:val="006249CB"/>
    <w:rsid w:val="00624F9C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108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158F"/>
    <w:rsid w:val="006A19EE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179B"/>
    <w:rsid w:val="006D3005"/>
    <w:rsid w:val="006D504F"/>
    <w:rsid w:val="006D632D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0366"/>
    <w:rsid w:val="0071131D"/>
    <w:rsid w:val="00711E3D"/>
    <w:rsid w:val="00711E85"/>
    <w:rsid w:val="00712DDA"/>
    <w:rsid w:val="00717739"/>
    <w:rsid w:val="00717D52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2F3D"/>
    <w:rsid w:val="00743C4C"/>
    <w:rsid w:val="00744363"/>
    <w:rsid w:val="007445B7"/>
    <w:rsid w:val="00744920"/>
    <w:rsid w:val="007509BE"/>
    <w:rsid w:val="0075287B"/>
    <w:rsid w:val="00755C7B"/>
    <w:rsid w:val="00764786"/>
    <w:rsid w:val="00766DBD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C71A2"/>
    <w:rsid w:val="007D2892"/>
    <w:rsid w:val="007D2DCC"/>
    <w:rsid w:val="007D47E1"/>
    <w:rsid w:val="007D562D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1C6D"/>
    <w:rsid w:val="008726E5"/>
    <w:rsid w:val="0087289E"/>
    <w:rsid w:val="00874015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0FC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65E7"/>
    <w:rsid w:val="00A70E35"/>
    <w:rsid w:val="00A720DC"/>
    <w:rsid w:val="00A803CF"/>
    <w:rsid w:val="00A8133F"/>
    <w:rsid w:val="00A82CB4"/>
    <w:rsid w:val="00A837A8"/>
    <w:rsid w:val="00A83C36"/>
    <w:rsid w:val="00A842AE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3CE7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32CA"/>
    <w:rsid w:val="00AD4497"/>
    <w:rsid w:val="00AD7780"/>
    <w:rsid w:val="00AE2263"/>
    <w:rsid w:val="00AE248E"/>
    <w:rsid w:val="00AE2D12"/>
    <w:rsid w:val="00AE2F06"/>
    <w:rsid w:val="00AE4F1C"/>
    <w:rsid w:val="00AE6750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1278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3551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7F2"/>
    <w:rsid w:val="00BD0A32"/>
    <w:rsid w:val="00BD3124"/>
    <w:rsid w:val="00BD4E55"/>
    <w:rsid w:val="00BD513B"/>
    <w:rsid w:val="00BD5E52"/>
    <w:rsid w:val="00BE00CD"/>
    <w:rsid w:val="00BE0E75"/>
    <w:rsid w:val="00BE1789"/>
    <w:rsid w:val="00BE3634"/>
    <w:rsid w:val="00BE3747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A21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3A0B"/>
    <w:rsid w:val="00C87B7A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122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20BE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192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CE4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342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22AE"/>
    <w:rsid w:val="00DD5BCC"/>
    <w:rsid w:val="00DD7509"/>
    <w:rsid w:val="00DD79C7"/>
    <w:rsid w:val="00DD7D6E"/>
    <w:rsid w:val="00DE33A6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448"/>
    <w:rsid w:val="00E42B85"/>
    <w:rsid w:val="00E42BB2"/>
    <w:rsid w:val="00E43263"/>
    <w:rsid w:val="00E438AE"/>
    <w:rsid w:val="00E443CE"/>
    <w:rsid w:val="00E45547"/>
    <w:rsid w:val="00E500F1"/>
    <w:rsid w:val="00E51446"/>
    <w:rsid w:val="00E51D0F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63B"/>
    <w:rsid w:val="00E87A99"/>
    <w:rsid w:val="00E90702"/>
    <w:rsid w:val="00E9241E"/>
    <w:rsid w:val="00E93DEF"/>
    <w:rsid w:val="00E941F9"/>
    <w:rsid w:val="00E947B1"/>
    <w:rsid w:val="00E95AF9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2B83"/>
    <w:rsid w:val="00F83F8D"/>
    <w:rsid w:val="00F84153"/>
    <w:rsid w:val="00F85661"/>
    <w:rsid w:val="00F8716C"/>
    <w:rsid w:val="00F947C6"/>
    <w:rsid w:val="00F96602"/>
    <w:rsid w:val="00F968B7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25E"/>
    <w:rsid w:val="00FE5909"/>
    <w:rsid w:val="00FE652E"/>
    <w:rsid w:val="00FE71FE"/>
    <w:rsid w:val="00FF0A28"/>
    <w:rsid w:val="00FF0B8B"/>
    <w:rsid w:val="00FF0E93"/>
    <w:rsid w:val="00FF13C3"/>
    <w:rsid w:val="00FF3267"/>
    <w:rsid w:val="00FF3440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45D4DF-BDFB-45FD-81C2-51C3BDF1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D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1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D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1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1D0F"/>
    <w:rPr>
      <w:b/>
      <w:bCs/>
    </w:rPr>
  </w:style>
  <w:style w:type="paragraph" w:styleId="Revision">
    <w:name w:val="Revision"/>
    <w:hidden/>
    <w:uiPriority w:val="99"/>
    <w:semiHidden/>
    <w:rsid w:val="006A19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7192"/>
    <w:pPr>
      <w:ind w:left="720"/>
      <w:contextualSpacing/>
    </w:pPr>
  </w:style>
  <w:style w:type="character" w:styleId="Hyperlink">
    <w:name w:val="Hyperlink"/>
    <w:basedOn w:val="DefaultParagraphFont"/>
    <w:unhideWhenUsed/>
    <w:rsid w:val="00AB3C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4902</Characters>
  <Application>Microsoft Office Word</Application>
  <DocSecurity>0</DocSecurity>
  <Lines>108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SB02615 (Committee Report (Substituted))</vt:lpstr>
    </vt:vector>
  </TitlesOfParts>
  <Company>State of Texas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32251</dc:subject>
  <dc:creator>State of Texas</dc:creator>
  <dc:description>SB 2615 by Creighton-(H)Higher Education (Substitute Document Number: 89R 31963)</dc:description>
  <cp:lastModifiedBy>Damian Duarte</cp:lastModifiedBy>
  <cp:revision>2</cp:revision>
  <cp:lastPrinted>2003-11-26T17:21:00Z</cp:lastPrinted>
  <dcterms:created xsi:type="dcterms:W3CDTF">2025-05-22T14:52:00Z</dcterms:created>
  <dcterms:modified xsi:type="dcterms:W3CDTF">2025-05-22T14:52:00Z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25.141.1589</vt:lpwstr>
  </property>
</Properties>
</file>