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95C03" w14:paraId="60EA94AF" w14:textId="77777777" w:rsidTr="00345119">
        <w:tc>
          <w:tcPr>
            <w:tcW w:w="9576" w:type="dxa"/>
            <w:noWrap/>
          </w:tcPr>
          <w:p w14:paraId="0E07EBB7" w14:textId="77777777" w:rsidR="008423E4" w:rsidRPr="0022177D" w:rsidRDefault="00D25E28" w:rsidP="004D5219">
            <w:pPr>
              <w:pStyle w:val="Heading1"/>
            </w:pPr>
            <w:r w:rsidRPr="00631897">
              <w:t>BILL ANALYSIS</w:t>
            </w:r>
          </w:p>
        </w:tc>
      </w:tr>
    </w:tbl>
    <w:p w14:paraId="2256E92C" w14:textId="77777777" w:rsidR="008423E4" w:rsidRPr="0022177D" w:rsidRDefault="008423E4" w:rsidP="004D5219">
      <w:pPr>
        <w:jc w:val="center"/>
      </w:pPr>
    </w:p>
    <w:p w14:paraId="7B3C1087" w14:textId="77777777" w:rsidR="008423E4" w:rsidRPr="00B31F0E" w:rsidRDefault="008423E4" w:rsidP="004D5219"/>
    <w:p w14:paraId="4A52F930" w14:textId="77777777" w:rsidR="008423E4" w:rsidRPr="00742794" w:rsidRDefault="008423E4" w:rsidP="004D5219">
      <w:pPr>
        <w:tabs>
          <w:tab w:val="right" w:pos="9360"/>
        </w:tabs>
      </w:pPr>
    </w:p>
    <w:tbl>
      <w:tblPr>
        <w:tblW w:w="0" w:type="auto"/>
        <w:tblLayout w:type="fixed"/>
        <w:tblLook w:val="01E0" w:firstRow="1" w:lastRow="1" w:firstColumn="1" w:lastColumn="1" w:noHBand="0" w:noVBand="0"/>
      </w:tblPr>
      <w:tblGrid>
        <w:gridCol w:w="9576"/>
      </w:tblGrid>
      <w:tr w:rsidR="00595C03" w14:paraId="4F12F46E" w14:textId="77777777" w:rsidTr="00345119">
        <w:tc>
          <w:tcPr>
            <w:tcW w:w="9576" w:type="dxa"/>
          </w:tcPr>
          <w:p w14:paraId="6C2E80E0" w14:textId="47F62765" w:rsidR="008423E4" w:rsidRPr="00861995" w:rsidRDefault="00D25E28" w:rsidP="004D5219">
            <w:pPr>
              <w:jc w:val="right"/>
            </w:pPr>
            <w:r>
              <w:t>C.S.S.B. 2623</w:t>
            </w:r>
          </w:p>
        </w:tc>
      </w:tr>
      <w:tr w:rsidR="00595C03" w14:paraId="703A7659" w14:textId="77777777" w:rsidTr="00345119">
        <w:tc>
          <w:tcPr>
            <w:tcW w:w="9576" w:type="dxa"/>
          </w:tcPr>
          <w:p w14:paraId="2537FEE6" w14:textId="3CDBC9C8" w:rsidR="008423E4" w:rsidRPr="00861995" w:rsidRDefault="00D25E28" w:rsidP="004D5219">
            <w:pPr>
              <w:jc w:val="right"/>
            </w:pPr>
            <w:r>
              <w:t xml:space="preserve">By: </w:t>
            </w:r>
            <w:r w:rsidR="00117FF2">
              <w:t>Creighton</w:t>
            </w:r>
          </w:p>
        </w:tc>
      </w:tr>
      <w:tr w:rsidR="00595C03" w14:paraId="2BA99278" w14:textId="77777777" w:rsidTr="00345119">
        <w:tc>
          <w:tcPr>
            <w:tcW w:w="9576" w:type="dxa"/>
          </w:tcPr>
          <w:p w14:paraId="0DDB2866" w14:textId="347770A0" w:rsidR="008423E4" w:rsidRPr="00861995" w:rsidRDefault="00D25E28" w:rsidP="004D5219">
            <w:pPr>
              <w:jc w:val="right"/>
            </w:pPr>
            <w:r>
              <w:t>Intergovernmental Affairs</w:t>
            </w:r>
          </w:p>
        </w:tc>
      </w:tr>
      <w:tr w:rsidR="00595C03" w14:paraId="6D66F351" w14:textId="77777777" w:rsidTr="00345119">
        <w:tc>
          <w:tcPr>
            <w:tcW w:w="9576" w:type="dxa"/>
          </w:tcPr>
          <w:p w14:paraId="2364CF07" w14:textId="51ADE40F" w:rsidR="008423E4" w:rsidRDefault="00D25E28" w:rsidP="004D5219">
            <w:pPr>
              <w:jc w:val="right"/>
            </w:pPr>
            <w:r>
              <w:t>Committee Report (Substituted)</w:t>
            </w:r>
          </w:p>
        </w:tc>
      </w:tr>
    </w:tbl>
    <w:p w14:paraId="219157F9" w14:textId="77777777" w:rsidR="008423E4" w:rsidRDefault="008423E4" w:rsidP="004D5219">
      <w:pPr>
        <w:tabs>
          <w:tab w:val="right" w:pos="9360"/>
        </w:tabs>
      </w:pPr>
    </w:p>
    <w:p w14:paraId="5FE8B483" w14:textId="77777777" w:rsidR="008423E4" w:rsidRDefault="008423E4" w:rsidP="004D5219"/>
    <w:p w14:paraId="7D61E33F" w14:textId="77777777" w:rsidR="008423E4" w:rsidRDefault="008423E4" w:rsidP="004D5219"/>
    <w:tbl>
      <w:tblPr>
        <w:tblW w:w="0" w:type="auto"/>
        <w:tblCellMar>
          <w:left w:w="115" w:type="dxa"/>
          <w:right w:w="115" w:type="dxa"/>
        </w:tblCellMar>
        <w:tblLook w:val="01E0" w:firstRow="1" w:lastRow="1" w:firstColumn="1" w:lastColumn="1" w:noHBand="0" w:noVBand="0"/>
      </w:tblPr>
      <w:tblGrid>
        <w:gridCol w:w="9360"/>
      </w:tblGrid>
      <w:tr w:rsidR="00595C03" w14:paraId="0B7C3A46" w14:textId="77777777" w:rsidTr="00345119">
        <w:tc>
          <w:tcPr>
            <w:tcW w:w="9576" w:type="dxa"/>
          </w:tcPr>
          <w:p w14:paraId="2F57EA0A" w14:textId="77777777" w:rsidR="008423E4" w:rsidRPr="00A8133F" w:rsidRDefault="00D25E28" w:rsidP="004D5219">
            <w:pPr>
              <w:rPr>
                <w:b/>
              </w:rPr>
            </w:pPr>
            <w:r w:rsidRPr="009C1E9A">
              <w:rPr>
                <w:b/>
                <w:u w:val="single"/>
              </w:rPr>
              <w:t>BACKGROUND AND PURPOSE</w:t>
            </w:r>
            <w:r>
              <w:rPr>
                <w:b/>
              </w:rPr>
              <w:t xml:space="preserve"> </w:t>
            </w:r>
          </w:p>
          <w:p w14:paraId="5ABA48BD" w14:textId="77777777" w:rsidR="008423E4" w:rsidRDefault="008423E4" w:rsidP="004D5219"/>
          <w:p w14:paraId="624AEFFD" w14:textId="322C8953" w:rsidR="008423E4" w:rsidRDefault="00D25E28" w:rsidP="004D5219">
            <w:pPr>
              <w:pStyle w:val="Header"/>
              <w:jc w:val="both"/>
            </w:pPr>
            <w:r>
              <w:t xml:space="preserve">The </w:t>
            </w:r>
            <w:r w:rsidR="00B541D4">
              <w:t xml:space="preserve">bill sponsor has informed the committee that although </w:t>
            </w:r>
            <w:r>
              <w:t>services</w:t>
            </w:r>
            <w:r w:rsidR="00B541D4">
              <w:t xml:space="preserve"> provided to assist individuals experiencing homelessness </w:t>
            </w:r>
            <w:r w:rsidR="00A30348">
              <w:t xml:space="preserve">to </w:t>
            </w:r>
            <w:r w:rsidR="00B541D4" w:rsidRPr="00B541D4">
              <w:t>reintegra</w:t>
            </w:r>
            <w:r w:rsidR="00B541D4">
              <w:t>te</w:t>
            </w:r>
            <w:r w:rsidR="00B541D4" w:rsidRPr="00B541D4">
              <w:t xml:space="preserve"> into stable living conditions</w:t>
            </w:r>
            <w:r>
              <w:t xml:space="preserve"> are essential to support vulnerable populations, their proximity to schools </w:t>
            </w:r>
            <w:r w:rsidR="00382535">
              <w:t xml:space="preserve">has caused concerns for students' safety and well-being and </w:t>
            </w:r>
            <w:r>
              <w:t>requires action to maintain a safe and secure environment for students, families, and communities. C</w:t>
            </w:r>
            <w:r w:rsidR="00382535">
              <w:t>.</w:t>
            </w:r>
            <w:r>
              <w:t>S</w:t>
            </w:r>
            <w:r w:rsidR="00382535">
              <w:t>.</w:t>
            </w:r>
            <w:r>
              <w:t>S</w:t>
            </w:r>
            <w:r w:rsidR="00382535">
              <w:t>.</w:t>
            </w:r>
            <w:r>
              <w:t>B</w:t>
            </w:r>
            <w:r w:rsidR="00382535">
              <w:t>.</w:t>
            </w:r>
            <w:r>
              <w:t xml:space="preserve"> 2623 </w:t>
            </w:r>
            <w:r w:rsidR="00382535">
              <w:t xml:space="preserve">seeks to address these concerns by </w:t>
            </w:r>
            <w:r>
              <w:t>creat</w:t>
            </w:r>
            <w:r w:rsidR="00382535">
              <w:t>ing</w:t>
            </w:r>
            <w:r>
              <w:t xml:space="preserve"> an expansive </w:t>
            </w:r>
            <w:r w:rsidR="00382535">
              <w:t xml:space="preserve">oversight </w:t>
            </w:r>
            <w:r>
              <w:t xml:space="preserve">framework </w:t>
            </w:r>
            <w:r w:rsidR="00382535">
              <w:t>for the provision of navigation services</w:t>
            </w:r>
            <w:r>
              <w:t xml:space="preserve"> with the safety of Texas schoolchildren in</w:t>
            </w:r>
            <w:r>
              <w:t xml:space="preserve"> mind while </w:t>
            </w:r>
            <w:r w:rsidR="00382535">
              <w:t xml:space="preserve">providing for </w:t>
            </w:r>
            <w:r>
              <w:t>exempti</w:t>
            </w:r>
            <w:r w:rsidR="00382535">
              <w:t>o</w:t>
            </w:r>
            <w:r>
              <w:t>n</w:t>
            </w:r>
            <w:r w:rsidR="00382535">
              <w:t>s for</w:t>
            </w:r>
            <w:r>
              <w:t xml:space="preserve"> health</w:t>
            </w:r>
            <w:r w:rsidR="00F77BDF">
              <w:t xml:space="preserve"> </w:t>
            </w:r>
            <w:r>
              <w:t>care facilities and service providers exhibiting best practices</w:t>
            </w:r>
            <w:r w:rsidR="00382535">
              <w:t>.</w:t>
            </w:r>
            <w:r>
              <w:t xml:space="preserve"> </w:t>
            </w:r>
          </w:p>
          <w:p w14:paraId="13324B37" w14:textId="45A3696F" w:rsidR="00BF3FF1" w:rsidRPr="00E26B13" w:rsidRDefault="00BF3FF1" w:rsidP="004D5219">
            <w:pPr>
              <w:pStyle w:val="Header"/>
              <w:jc w:val="both"/>
              <w:rPr>
                <w:b/>
              </w:rPr>
            </w:pPr>
          </w:p>
        </w:tc>
      </w:tr>
      <w:tr w:rsidR="00595C03" w14:paraId="63C4FA10" w14:textId="77777777" w:rsidTr="00345119">
        <w:tc>
          <w:tcPr>
            <w:tcW w:w="9576" w:type="dxa"/>
          </w:tcPr>
          <w:p w14:paraId="37D4593C" w14:textId="77777777" w:rsidR="0017725B" w:rsidRDefault="00D25E28" w:rsidP="004D5219">
            <w:pPr>
              <w:rPr>
                <w:b/>
                <w:u w:val="single"/>
              </w:rPr>
            </w:pPr>
            <w:r>
              <w:rPr>
                <w:b/>
                <w:u w:val="single"/>
              </w:rPr>
              <w:t>CRIMINAL JUSTICE IMPACT</w:t>
            </w:r>
          </w:p>
          <w:p w14:paraId="68702969" w14:textId="77777777" w:rsidR="0017725B" w:rsidRDefault="0017725B" w:rsidP="004D5219">
            <w:pPr>
              <w:rPr>
                <w:b/>
                <w:u w:val="single"/>
              </w:rPr>
            </w:pPr>
          </w:p>
          <w:p w14:paraId="2DDCE182" w14:textId="0DC3F0CD" w:rsidR="00830023" w:rsidRPr="00830023" w:rsidRDefault="00D25E28" w:rsidP="004D5219">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1DA5268F" w14:textId="77777777" w:rsidR="0017725B" w:rsidRPr="0017725B" w:rsidRDefault="0017725B" w:rsidP="004D5219">
            <w:pPr>
              <w:rPr>
                <w:b/>
                <w:u w:val="single"/>
              </w:rPr>
            </w:pPr>
          </w:p>
        </w:tc>
      </w:tr>
      <w:tr w:rsidR="00595C03" w14:paraId="6C568571" w14:textId="77777777" w:rsidTr="00345119">
        <w:tc>
          <w:tcPr>
            <w:tcW w:w="9576" w:type="dxa"/>
          </w:tcPr>
          <w:p w14:paraId="16BA27E8" w14:textId="77777777" w:rsidR="008423E4" w:rsidRPr="00A8133F" w:rsidRDefault="00D25E28" w:rsidP="004D5219">
            <w:pPr>
              <w:rPr>
                <w:b/>
              </w:rPr>
            </w:pPr>
            <w:r w:rsidRPr="009C1E9A">
              <w:rPr>
                <w:b/>
                <w:u w:val="single"/>
              </w:rPr>
              <w:t>RULEMAKING AUTHORITY</w:t>
            </w:r>
            <w:r>
              <w:rPr>
                <w:b/>
              </w:rPr>
              <w:t xml:space="preserve"> </w:t>
            </w:r>
          </w:p>
          <w:p w14:paraId="7E99BEED" w14:textId="77777777" w:rsidR="008423E4" w:rsidRDefault="008423E4" w:rsidP="004D5219"/>
          <w:p w14:paraId="5AB6E873" w14:textId="360067BC" w:rsidR="00830023" w:rsidRDefault="00D25E28" w:rsidP="004D521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9C8183B" w14:textId="77777777" w:rsidR="008423E4" w:rsidRPr="00E21FDC" w:rsidRDefault="008423E4" w:rsidP="004D5219">
            <w:pPr>
              <w:rPr>
                <w:b/>
              </w:rPr>
            </w:pPr>
          </w:p>
        </w:tc>
      </w:tr>
      <w:tr w:rsidR="00595C03" w14:paraId="4F09B809" w14:textId="77777777" w:rsidTr="00345119">
        <w:tc>
          <w:tcPr>
            <w:tcW w:w="9576" w:type="dxa"/>
          </w:tcPr>
          <w:p w14:paraId="4E4A4379" w14:textId="77777777" w:rsidR="008423E4" w:rsidRPr="00A8133F" w:rsidRDefault="00D25E28" w:rsidP="004D5219">
            <w:pPr>
              <w:rPr>
                <w:b/>
              </w:rPr>
            </w:pPr>
            <w:r w:rsidRPr="009C1E9A">
              <w:rPr>
                <w:b/>
                <w:u w:val="single"/>
              </w:rPr>
              <w:t>ANALYSIS</w:t>
            </w:r>
            <w:r>
              <w:rPr>
                <w:b/>
              </w:rPr>
              <w:t xml:space="preserve"> </w:t>
            </w:r>
          </w:p>
          <w:p w14:paraId="120B69E1" w14:textId="77777777" w:rsidR="008423E4" w:rsidRDefault="008423E4" w:rsidP="004D5219"/>
          <w:p w14:paraId="240FE2A6" w14:textId="2BEE89FD" w:rsidR="007B5347" w:rsidRDefault="00D25E28" w:rsidP="004D5219">
            <w:pPr>
              <w:pStyle w:val="Header"/>
              <w:jc w:val="both"/>
            </w:pPr>
            <w:r>
              <w:t>C.S.</w:t>
            </w:r>
            <w:r w:rsidR="00874C7D">
              <w:t>S.B. 2623 amends the Local Government Code to</w:t>
            </w:r>
            <w:r w:rsidR="00036825">
              <w:t xml:space="preserve"> provide for the establishment and enforcement of school safety zones with respect to navigation services.</w:t>
            </w:r>
            <w:r w:rsidR="00874C7D">
              <w:t xml:space="preserve"> </w:t>
            </w:r>
            <w:r>
              <w:t>The bill defines the following terms:</w:t>
            </w:r>
          </w:p>
          <w:p w14:paraId="75E9052A" w14:textId="77777777" w:rsidR="002F397A" w:rsidRDefault="00D25E28" w:rsidP="004D5219">
            <w:pPr>
              <w:pStyle w:val="Header"/>
              <w:numPr>
                <w:ilvl w:val="0"/>
                <w:numId w:val="9"/>
              </w:numPr>
              <w:jc w:val="both"/>
            </w:pPr>
            <w:r w:rsidRPr="007B5347">
              <w:t>"</w:t>
            </w:r>
            <w:r>
              <w:t>n</w:t>
            </w:r>
            <w:r w:rsidRPr="007B5347">
              <w:t xml:space="preserve">avigation services" </w:t>
            </w:r>
            <w:r>
              <w:t>as</w:t>
            </w:r>
            <w:r w:rsidRPr="007B5347">
              <w:t xml:space="preserve"> services that assist individuals experiencing homelessness to access shelter, meals, medical care, substance abuse treatment, mental health services, employment resources, housing placement, and other services necessary for reintegration into stable living conditions</w:t>
            </w:r>
            <w:r>
              <w:t>, excluding</w:t>
            </w:r>
            <w:r w:rsidRPr="007B5347">
              <w:t xml:space="preserve"> the provision of emergency care or inpatient care</w:t>
            </w:r>
            <w:r>
              <w:t>;</w:t>
            </w:r>
          </w:p>
          <w:p w14:paraId="27C1DE9E" w14:textId="5577941B" w:rsidR="00A30348" w:rsidRDefault="00D25E28" w:rsidP="004D5219">
            <w:pPr>
              <w:pStyle w:val="Header"/>
              <w:numPr>
                <w:ilvl w:val="0"/>
                <w:numId w:val="9"/>
              </w:numPr>
              <w:jc w:val="both"/>
            </w:pPr>
            <w:r w:rsidRPr="00A30348">
              <w:t>"school safety zone" as the premises of an independent school district campus that does not operate an adult education program, a public institution of higher education, or a park</w:t>
            </w:r>
            <w:r>
              <w:t>; and</w:t>
            </w:r>
          </w:p>
          <w:p w14:paraId="3FEA18DA" w14:textId="1CBE792E" w:rsidR="007B5347" w:rsidRDefault="00D25E28" w:rsidP="004D5219">
            <w:pPr>
              <w:pStyle w:val="Header"/>
              <w:numPr>
                <w:ilvl w:val="0"/>
                <w:numId w:val="9"/>
              </w:numPr>
              <w:jc w:val="both"/>
            </w:pPr>
            <w:r w:rsidRPr="007B5347">
              <w:t>"</w:t>
            </w:r>
            <w:r>
              <w:t>s</w:t>
            </w:r>
            <w:r w:rsidRPr="007B5347">
              <w:t xml:space="preserve">ervice provider" </w:t>
            </w:r>
            <w:r>
              <w:t>as</w:t>
            </w:r>
            <w:r w:rsidRPr="007B5347">
              <w:t xml:space="preserve"> an organization or government-funded facility operator that provides navigation services</w:t>
            </w:r>
            <w:r w:rsidR="00A30348">
              <w:t>.</w:t>
            </w:r>
          </w:p>
          <w:p w14:paraId="6D53B98B" w14:textId="56FE1A5C" w:rsidR="00FF450E" w:rsidRDefault="00D25E28" w:rsidP="004D5219">
            <w:pPr>
              <w:pStyle w:val="Header"/>
              <w:jc w:val="both"/>
            </w:pPr>
            <w:r>
              <w:t>The bill</w:t>
            </w:r>
            <w:r w:rsidR="00214B74">
              <w:t xml:space="preserve"> </w:t>
            </w:r>
            <w:r w:rsidRPr="00830023">
              <w:t>applies only to the provision of navigation services by a service provider using public funds to provide the services.</w:t>
            </w:r>
          </w:p>
          <w:p w14:paraId="316C4F42" w14:textId="77777777" w:rsidR="00FF450E" w:rsidRDefault="00FF450E" w:rsidP="004D5219">
            <w:pPr>
              <w:pStyle w:val="Header"/>
              <w:jc w:val="both"/>
            </w:pPr>
          </w:p>
          <w:p w14:paraId="41BB7F34" w14:textId="106ED629" w:rsidR="000D2715" w:rsidRDefault="00D25E28" w:rsidP="004D5219">
            <w:pPr>
              <w:pStyle w:val="Header"/>
              <w:jc w:val="both"/>
              <w:rPr>
                <w:b/>
                <w:bCs/>
              </w:rPr>
            </w:pPr>
            <w:r>
              <w:rPr>
                <w:b/>
                <w:bCs/>
              </w:rPr>
              <w:t xml:space="preserve">Safe Schools and Neighborhoods </w:t>
            </w:r>
            <w:r w:rsidR="00FF450E">
              <w:rPr>
                <w:b/>
                <w:bCs/>
              </w:rPr>
              <w:t>Task Force</w:t>
            </w:r>
          </w:p>
          <w:p w14:paraId="5D60BB1A" w14:textId="77777777" w:rsidR="007B5347" w:rsidRPr="00107B92" w:rsidRDefault="007B5347" w:rsidP="004D5219">
            <w:pPr>
              <w:pStyle w:val="Header"/>
              <w:jc w:val="both"/>
              <w:rPr>
                <w:b/>
                <w:bCs/>
              </w:rPr>
            </w:pPr>
          </w:p>
          <w:p w14:paraId="5867FC89" w14:textId="57FCDE2F" w:rsidR="00874C7D" w:rsidRDefault="00D25E28" w:rsidP="004D5219">
            <w:pPr>
              <w:pStyle w:val="Header"/>
              <w:jc w:val="both"/>
            </w:pPr>
            <w:r>
              <w:t>C.S.S.B. 2623 establishes the safe schools</w:t>
            </w:r>
            <w:r>
              <w:t xml:space="preserve"> and neighborhoods task force composed of 11 members</w:t>
            </w:r>
            <w:r w:rsidR="00570BB1">
              <w:t>,</w:t>
            </w:r>
            <w:r>
              <w:t xml:space="preserve"> appointed by the governor </w:t>
            </w:r>
            <w:r w:rsidR="00830023">
              <w:t>as soon as practicable after the bill's effective date</w:t>
            </w:r>
            <w:r w:rsidR="00570BB1">
              <w:t>,</w:t>
            </w:r>
            <w:r w:rsidR="00830023">
              <w:t xml:space="preserve"> </w:t>
            </w:r>
            <w:r>
              <w:t>as follows:</w:t>
            </w:r>
          </w:p>
          <w:p w14:paraId="1EAB9C37" w14:textId="4BFD26A5" w:rsidR="00874C7D" w:rsidRDefault="00D25E28" w:rsidP="004D5219">
            <w:pPr>
              <w:pStyle w:val="Header"/>
              <w:numPr>
                <w:ilvl w:val="0"/>
                <w:numId w:val="1"/>
              </w:numPr>
              <w:jc w:val="both"/>
            </w:pPr>
            <w:r>
              <w:t>one member who represents the Department of Public Safety;</w:t>
            </w:r>
          </w:p>
          <w:p w14:paraId="3AD3675F" w14:textId="49C072DD" w:rsidR="00874C7D" w:rsidRDefault="00D25E28" w:rsidP="004D5219">
            <w:pPr>
              <w:pStyle w:val="Header"/>
              <w:numPr>
                <w:ilvl w:val="0"/>
                <w:numId w:val="1"/>
              </w:numPr>
              <w:jc w:val="both"/>
            </w:pPr>
            <w:r>
              <w:t>one member who represents the attorney general;</w:t>
            </w:r>
          </w:p>
          <w:p w14:paraId="149E127C" w14:textId="770369D7" w:rsidR="00874C7D" w:rsidRDefault="00D25E28" w:rsidP="004D5219">
            <w:pPr>
              <w:pStyle w:val="Header"/>
              <w:numPr>
                <w:ilvl w:val="0"/>
                <w:numId w:val="1"/>
              </w:numPr>
              <w:jc w:val="both"/>
            </w:pPr>
            <w:r>
              <w:t>the chief of school safety and security for the Texas Education Agency;</w:t>
            </w:r>
          </w:p>
          <w:p w14:paraId="6AFBD734" w14:textId="4E38607B" w:rsidR="00874C7D" w:rsidRDefault="00D25E28" w:rsidP="004D5219">
            <w:pPr>
              <w:pStyle w:val="Header"/>
              <w:numPr>
                <w:ilvl w:val="0"/>
                <w:numId w:val="1"/>
              </w:numPr>
              <w:jc w:val="both"/>
            </w:pPr>
            <w:r>
              <w:t>one member who represents the Texas Department of Housing and Community Affairs</w:t>
            </w:r>
            <w:r w:rsidR="004B3DF7">
              <w:t xml:space="preserve"> (TDHCA)</w:t>
            </w:r>
            <w:r>
              <w:t>;</w:t>
            </w:r>
          </w:p>
          <w:p w14:paraId="5C626D78" w14:textId="523BA05E" w:rsidR="00874C7D" w:rsidRDefault="00D25E28" w:rsidP="004D5219">
            <w:pPr>
              <w:pStyle w:val="Header"/>
              <w:numPr>
                <w:ilvl w:val="0"/>
                <w:numId w:val="1"/>
              </w:numPr>
              <w:jc w:val="both"/>
            </w:pPr>
            <w:r>
              <w:t>one member who represents the Health and Human Services Commission;</w:t>
            </w:r>
          </w:p>
          <w:p w14:paraId="128C6905" w14:textId="01FE4AFC" w:rsidR="00874C7D" w:rsidRDefault="00D25E28" w:rsidP="004D5219">
            <w:pPr>
              <w:pStyle w:val="Header"/>
              <w:numPr>
                <w:ilvl w:val="0"/>
                <w:numId w:val="1"/>
              </w:numPr>
              <w:jc w:val="both"/>
            </w:pPr>
            <w:r>
              <w:t>one member of the State Board of Education;</w:t>
            </w:r>
          </w:p>
          <w:p w14:paraId="023CFF7A" w14:textId="138F5BB9" w:rsidR="00874C7D" w:rsidRDefault="00D25E28" w:rsidP="004D5219">
            <w:pPr>
              <w:pStyle w:val="Header"/>
              <w:numPr>
                <w:ilvl w:val="0"/>
                <w:numId w:val="1"/>
              </w:numPr>
              <w:jc w:val="both"/>
            </w:pPr>
            <w:r>
              <w:t>one member who represents the Texas Higher Education Coordinating Board;</w:t>
            </w:r>
          </w:p>
          <w:p w14:paraId="1B205AEA" w14:textId="25FCAC51" w:rsidR="00874C7D" w:rsidRDefault="00D25E28" w:rsidP="004D5219">
            <w:pPr>
              <w:pStyle w:val="Header"/>
              <w:numPr>
                <w:ilvl w:val="0"/>
                <w:numId w:val="1"/>
              </w:numPr>
              <w:jc w:val="both"/>
            </w:pPr>
            <w:r>
              <w:t>one member who represents a faith-based service provider;</w:t>
            </w:r>
          </w:p>
          <w:p w14:paraId="68C33533" w14:textId="696B5E70" w:rsidR="00874C7D" w:rsidRDefault="00D25E28" w:rsidP="004D5219">
            <w:pPr>
              <w:pStyle w:val="Header"/>
              <w:numPr>
                <w:ilvl w:val="0"/>
                <w:numId w:val="1"/>
              </w:numPr>
              <w:jc w:val="both"/>
            </w:pPr>
            <w:r>
              <w:t>one member who represents a nonprofit service provider;</w:t>
            </w:r>
          </w:p>
          <w:p w14:paraId="6736045A" w14:textId="5712E5AC" w:rsidR="00874C7D" w:rsidRDefault="00D25E28" w:rsidP="004D5219">
            <w:pPr>
              <w:pStyle w:val="Header"/>
              <w:numPr>
                <w:ilvl w:val="0"/>
                <w:numId w:val="1"/>
              </w:numPr>
              <w:jc w:val="both"/>
            </w:pPr>
            <w:r>
              <w:t>one member who represents the Texas Conference of Urban Counties; and</w:t>
            </w:r>
          </w:p>
          <w:p w14:paraId="6EB56CE3" w14:textId="62579156" w:rsidR="00874C7D" w:rsidRDefault="00D25E28" w:rsidP="004D5219">
            <w:pPr>
              <w:pStyle w:val="Header"/>
              <w:numPr>
                <w:ilvl w:val="0"/>
                <w:numId w:val="1"/>
              </w:numPr>
              <w:jc w:val="both"/>
            </w:pPr>
            <w:r>
              <w:t>one member who represents the Texas Municipal League.</w:t>
            </w:r>
          </w:p>
          <w:p w14:paraId="411F385A" w14:textId="66CA61CC" w:rsidR="00874C7D" w:rsidRDefault="00D25E28" w:rsidP="004D5219">
            <w:pPr>
              <w:pStyle w:val="Header"/>
              <w:jc w:val="both"/>
            </w:pPr>
            <w:r>
              <w:t>The bill requires the governor to appoint one member of the task force to serve as chair</w:t>
            </w:r>
            <w:r w:rsidR="00830023">
              <w:t>.</w:t>
            </w:r>
          </w:p>
          <w:p w14:paraId="65C1A025" w14:textId="77777777" w:rsidR="00874C7D" w:rsidRDefault="00874C7D" w:rsidP="004D5219">
            <w:pPr>
              <w:pStyle w:val="Header"/>
              <w:jc w:val="both"/>
            </w:pPr>
          </w:p>
          <w:p w14:paraId="5029A845" w14:textId="6E390B07" w:rsidR="00874C7D" w:rsidRDefault="00D25E28" w:rsidP="004D5219">
            <w:pPr>
              <w:pStyle w:val="Header"/>
              <w:jc w:val="both"/>
            </w:pPr>
            <w:r>
              <w:t xml:space="preserve">C.S.S.B. 2623 </w:t>
            </w:r>
            <w:r w:rsidR="00570BB1">
              <w:t>requires</w:t>
            </w:r>
            <w:r w:rsidR="00830023">
              <w:t xml:space="preserve"> </w:t>
            </w:r>
            <w:r>
              <w:t xml:space="preserve">the task force </w:t>
            </w:r>
            <w:r w:rsidR="00570BB1">
              <w:t>to do the following</w:t>
            </w:r>
            <w:r>
              <w:t>:</w:t>
            </w:r>
          </w:p>
          <w:p w14:paraId="70FF8558" w14:textId="1F3CBC6E" w:rsidR="00874C7D" w:rsidRDefault="00D25E28" w:rsidP="004D5219">
            <w:pPr>
              <w:pStyle w:val="Header"/>
              <w:numPr>
                <w:ilvl w:val="0"/>
                <w:numId w:val="2"/>
              </w:numPr>
              <w:jc w:val="both"/>
            </w:pPr>
            <w:r>
              <w:t xml:space="preserve">identify each facility in </w:t>
            </w:r>
            <w:r w:rsidR="004B3DF7">
              <w:t>Texas</w:t>
            </w:r>
            <w:r>
              <w:t xml:space="preserve"> providing navigation services within 1,500 feet of a school safety zone;</w:t>
            </w:r>
          </w:p>
          <w:p w14:paraId="6B42F7DF" w14:textId="7815864C" w:rsidR="00874C7D" w:rsidRDefault="00D25E28" w:rsidP="004D5219">
            <w:pPr>
              <w:pStyle w:val="Header"/>
              <w:numPr>
                <w:ilvl w:val="0"/>
                <w:numId w:val="2"/>
              </w:numPr>
              <w:jc w:val="both"/>
            </w:pPr>
            <w:r>
              <w:t>for each facility identified:</w:t>
            </w:r>
          </w:p>
          <w:p w14:paraId="0B611691" w14:textId="7DA1CC9B" w:rsidR="00874C7D" w:rsidRDefault="00D25E28" w:rsidP="004D5219">
            <w:pPr>
              <w:pStyle w:val="Header"/>
              <w:numPr>
                <w:ilvl w:val="1"/>
                <w:numId w:val="2"/>
              </w:numPr>
              <w:jc w:val="both"/>
            </w:pPr>
            <w:r>
              <w:t>notify the municipality in which the facility is located or</w:t>
            </w:r>
            <w:r w:rsidR="00220FF9">
              <w:t>,</w:t>
            </w:r>
            <w:r>
              <w:t xml:space="preserve"> if the facility is located in the unincorporated area of a county, the county in which the facility is located;</w:t>
            </w:r>
          </w:p>
          <w:p w14:paraId="3BD3F379" w14:textId="1D68F81E" w:rsidR="00874C7D" w:rsidRDefault="00D25E28" w:rsidP="004D5219">
            <w:pPr>
              <w:pStyle w:val="Header"/>
              <w:numPr>
                <w:ilvl w:val="1"/>
                <w:numId w:val="2"/>
              </w:numPr>
              <w:jc w:val="both"/>
            </w:pPr>
            <w:r>
              <w:t>identify the service provider operating the facility and the specific services being provided at the facility;</w:t>
            </w:r>
            <w:r w:rsidR="000209E5">
              <w:t xml:space="preserve"> </w:t>
            </w:r>
          </w:p>
          <w:p w14:paraId="4EB626D5" w14:textId="69AE853F" w:rsidR="00874C7D" w:rsidRDefault="00D25E28" w:rsidP="004D5219">
            <w:pPr>
              <w:pStyle w:val="Header"/>
              <w:numPr>
                <w:ilvl w:val="1"/>
                <w:numId w:val="2"/>
              </w:numPr>
              <w:jc w:val="both"/>
            </w:pPr>
            <w:r>
              <w:t xml:space="preserve">provide written notice to the facility and the service provider that, if the task force determines that the facility is providing navigation services within 1,500 feet of a school safety zone in violation of </w:t>
            </w:r>
            <w:r w:rsidR="004B3DF7">
              <w:t>the bill's provisions</w:t>
            </w:r>
            <w:r>
              <w:t xml:space="preserve">, the service provider is required to stop providing navigation services at the facility not later than the 30th day after the date the service provider receives the written notice or be subject to the penalties provided by </w:t>
            </w:r>
            <w:r w:rsidR="004B3DF7">
              <w:t>the bill</w:t>
            </w:r>
            <w:r>
              <w:t>;</w:t>
            </w:r>
            <w:r w:rsidR="00570BB1">
              <w:t xml:space="preserve"> and</w:t>
            </w:r>
          </w:p>
          <w:p w14:paraId="4393FB64" w14:textId="5F035204" w:rsidR="00874C7D" w:rsidRDefault="00D25E28" w:rsidP="004D5219">
            <w:pPr>
              <w:pStyle w:val="Header"/>
              <w:numPr>
                <w:ilvl w:val="1"/>
                <w:numId w:val="2"/>
              </w:numPr>
              <w:jc w:val="both"/>
            </w:pPr>
            <w:r>
              <w:t xml:space="preserve">determine whether a service provider that is required by </w:t>
            </w:r>
            <w:r w:rsidR="004B3DF7">
              <w:t xml:space="preserve">the bill </w:t>
            </w:r>
            <w:r>
              <w:t xml:space="preserve">to stop providing navigation services at the facility has stopped providing the services within </w:t>
            </w:r>
            <w:r w:rsidR="00912B72">
              <w:t xml:space="preserve">that </w:t>
            </w:r>
            <w:r>
              <w:t>30-day period and give notice of the task force's determination to the municipality or county, as applicable, in which the facility is located; and</w:t>
            </w:r>
          </w:p>
          <w:p w14:paraId="1C022902" w14:textId="0D62A1B5" w:rsidR="00874C7D" w:rsidRDefault="00D25E28" w:rsidP="004D5219">
            <w:pPr>
              <w:pStyle w:val="Header"/>
              <w:numPr>
                <w:ilvl w:val="0"/>
                <w:numId w:val="2"/>
              </w:numPr>
              <w:jc w:val="both"/>
            </w:pPr>
            <w:r>
              <w:t>develop and make legislative recommendations relating to the provision of navigation services, including regulation of service providers and policies or laws that the task force determines may be necessary to ensure the safe provision of navigation services.</w:t>
            </w:r>
          </w:p>
          <w:p w14:paraId="517A87CC" w14:textId="6284B172" w:rsidR="00601E9E" w:rsidRDefault="00D25E28" w:rsidP="004D5219">
            <w:pPr>
              <w:pStyle w:val="Header"/>
              <w:jc w:val="both"/>
            </w:pPr>
            <w:r>
              <w:t>The bill</w:t>
            </w:r>
            <w:r w:rsidR="004B3DF7">
              <w:t xml:space="preserve"> requires the task force,</w:t>
            </w:r>
            <w:r w:rsidR="00874C7D">
              <w:t xml:space="preserve"> </w:t>
            </w:r>
            <w:r w:rsidR="004B3DF7">
              <w:t>n</w:t>
            </w:r>
            <w:r w:rsidR="00874C7D">
              <w:t xml:space="preserve">ot later than January 1 of each even-numbered year, </w:t>
            </w:r>
            <w:r w:rsidR="004B3DF7">
              <w:t>to</w:t>
            </w:r>
            <w:r w:rsidR="00874C7D">
              <w:t xml:space="preserve"> provide a written report of the legislative recommendations of the task force</w:t>
            </w:r>
            <w:r w:rsidR="004B3DF7">
              <w:t xml:space="preserve"> </w:t>
            </w:r>
            <w:r w:rsidR="00874C7D">
              <w:t>to the governor, lieutenant governor, and each member of the legislature.</w:t>
            </w:r>
          </w:p>
          <w:p w14:paraId="05ED59E8" w14:textId="77777777" w:rsidR="00601E9E" w:rsidRDefault="00601E9E" w:rsidP="004D5219">
            <w:pPr>
              <w:pStyle w:val="Header"/>
              <w:jc w:val="both"/>
            </w:pPr>
          </w:p>
          <w:p w14:paraId="6654700A" w14:textId="2734DBDC" w:rsidR="00601E9E" w:rsidRDefault="00D25E28" w:rsidP="004D5219">
            <w:pPr>
              <w:pStyle w:val="Header"/>
              <w:jc w:val="both"/>
            </w:pPr>
            <w:r>
              <w:t>C.S.S.B. 2623</w:t>
            </w:r>
            <w:r w:rsidR="004B3DF7">
              <w:t xml:space="preserve"> requires the</w:t>
            </w:r>
            <w:r w:rsidR="00874C7D">
              <w:t xml:space="preserve"> task force </w:t>
            </w:r>
            <w:r w:rsidR="004B3DF7">
              <w:t>to</w:t>
            </w:r>
            <w:r w:rsidR="00874C7D">
              <w:t xml:space="preserve"> provide the initial written report not later than September</w:t>
            </w:r>
            <w:r w:rsidR="00AA0E36">
              <w:t> </w:t>
            </w:r>
            <w:r w:rsidR="00874C7D">
              <w:t xml:space="preserve">1, 2026. </w:t>
            </w:r>
            <w:r>
              <w:t>This provision expires January 1, 2027.</w:t>
            </w:r>
          </w:p>
          <w:p w14:paraId="28D71DF3" w14:textId="77777777" w:rsidR="00601E9E" w:rsidRDefault="00601E9E" w:rsidP="004D5219">
            <w:pPr>
              <w:pStyle w:val="Header"/>
              <w:jc w:val="both"/>
            </w:pPr>
          </w:p>
          <w:p w14:paraId="7B081B15" w14:textId="75EDC518" w:rsidR="00874C7D" w:rsidRDefault="00D25E28" w:rsidP="004D5219">
            <w:pPr>
              <w:pStyle w:val="Header"/>
              <w:jc w:val="both"/>
            </w:pPr>
            <w:r>
              <w:t>C.S.S.B. 2623</w:t>
            </w:r>
            <w:r w:rsidR="004B3DF7">
              <w:t xml:space="preserve"> requires</w:t>
            </w:r>
            <w:r>
              <w:t xml:space="preserve"> </w:t>
            </w:r>
            <w:r w:rsidR="004B3DF7">
              <w:t>t</w:t>
            </w:r>
            <w:r>
              <w:t>he task forc</w:t>
            </w:r>
            <w:r w:rsidR="004B3DF7">
              <w:t>e</w:t>
            </w:r>
            <w:r>
              <w:t xml:space="preserve">, in consultation with </w:t>
            </w:r>
            <w:r w:rsidR="004B3DF7">
              <w:t>TDHCA</w:t>
            </w:r>
            <w:r>
              <w:t xml:space="preserve"> and the Department of State Health Services</w:t>
            </w:r>
            <w:r w:rsidR="000209E5">
              <w:t xml:space="preserve"> (DSHS)</w:t>
            </w:r>
            <w:r>
              <w:t xml:space="preserve">, </w:t>
            </w:r>
            <w:r w:rsidR="004B3DF7">
              <w:t xml:space="preserve">to </w:t>
            </w:r>
            <w:r>
              <w:t xml:space="preserve">develop recommendations on legislation to require a service provider to obtain a license from </w:t>
            </w:r>
            <w:r w:rsidR="004B3DF7">
              <w:t>TDHCA</w:t>
            </w:r>
            <w:r>
              <w:t xml:space="preserve"> to operate. Any recommendations developed </w:t>
            </w:r>
            <w:r w:rsidR="004B3DF7">
              <w:t>under the bill</w:t>
            </w:r>
            <w:r>
              <w:t xml:space="preserve"> must be included in the task force's initial report. </w:t>
            </w:r>
            <w:r w:rsidR="000209E5">
              <w:t>These provisions expire</w:t>
            </w:r>
            <w:r>
              <w:t xml:space="preserve"> January</w:t>
            </w:r>
            <w:r w:rsidR="00AA0E36">
              <w:t> </w:t>
            </w:r>
            <w:r>
              <w:t>1, 2027.</w:t>
            </w:r>
          </w:p>
          <w:p w14:paraId="7EFE20A7" w14:textId="77777777" w:rsidR="00F413D9" w:rsidRDefault="00F413D9" w:rsidP="004D5219">
            <w:pPr>
              <w:pStyle w:val="Header"/>
              <w:jc w:val="both"/>
              <w:rPr>
                <w:b/>
                <w:bCs/>
              </w:rPr>
            </w:pPr>
          </w:p>
          <w:p w14:paraId="4AE4520B" w14:textId="2C285B91" w:rsidR="00F413D9" w:rsidRDefault="00D25E28" w:rsidP="004D5219">
            <w:pPr>
              <w:pStyle w:val="Header"/>
              <w:jc w:val="both"/>
              <w:rPr>
                <w:b/>
                <w:bCs/>
              </w:rPr>
            </w:pPr>
            <w:r>
              <w:rPr>
                <w:b/>
                <w:bCs/>
              </w:rPr>
              <w:t>Prohibitions</w:t>
            </w:r>
            <w:r w:rsidR="00595648">
              <w:rPr>
                <w:b/>
                <w:bCs/>
              </w:rPr>
              <w:t xml:space="preserve"> and Enforcement</w:t>
            </w:r>
          </w:p>
          <w:p w14:paraId="6CAD5884" w14:textId="77777777" w:rsidR="002F397A" w:rsidRPr="00E90E52" w:rsidRDefault="002F397A" w:rsidP="004D5219">
            <w:pPr>
              <w:pStyle w:val="Header"/>
              <w:jc w:val="both"/>
              <w:rPr>
                <w:b/>
                <w:bCs/>
              </w:rPr>
            </w:pPr>
          </w:p>
          <w:p w14:paraId="1E209D1D" w14:textId="16D35633" w:rsidR="00595648" w:rsidRDefault="00D25E28" w:rsidP="004D5219">
            <w:pPr>
              <w:pStyle w:val="Header"/>
              <w:jc w:val="both"/>
            </w:pPr>
            <w:r>
              <w:t xml:space="preserve">C.S.S.B. 2623 prohibits a </w:t>
            </w:r>
            <w:r w:rsidRPr="00FF450E">
              <w:t xml:space="preserve">service provider </w:t>
            </w:r>
            <w:r>
              <w:t>from providing</w:t>
            </w:r>
            <w:r w:rsidRPr="00FF450E">
              <w:t xml:space="preserve"> navigation services at a facility</w:t>
            </w:r>
            <w:r>
              <w:t xml:space="preserve"> </w:t>
            </w:r>
            <w:r w:rsidRPr="00214B74">
              <w:t>located within 1,500 feet of a school safety zone</w:t>
            </w:r>
            <w:r>
              <w:t>. The bill requires a service provider that receives notice from the task force of the task force's determination that a facility operated by the service provider is providing navigation services within 1,500 feet of a school safety zone in violation of this prohibition to stop providing navigation services at the facility not later than the 30th day after the date the service provider receives</w:t>
            </w:r>
            <w:r>
              <w:t xml:space="preserve"> the notice. The bill requires a municipality or county that receives notice from the task force of the task force's determination that a facility has failed to stop providing navigation services within that 30-day period to do the following not later than the seventh day after the date the municipality or county receives the notice:</w:t>
            </w:r>
          </w:p>
          <w:p w14:paraId="132743B2" w14:textId="77777777" w:rsidR="00595648" w:rsidRDefault="00D25E28" w:rsidP="004D5219">
            <w:pPr>
              <w:pStyle w:val="Header"/>
              <w:numPr>
                <w:ilvl w:val="0"/>
                <w:numId w:val="5"/>
              </w:numPr>
              <w:jc w:val="both"/>
            </w:pPr>
            <w:r>
              <w:t>if the facility is operated by the municipality or county, stop providing navigation services at the facility; or</w:t>
            </w:r>
          </w:p>
          <w:p w14:paraId="5976EFCE" w14:textId="6F7914FE" w:rsidR="00595648" w:rsidRDefault="00D25E28" w:rsidP="004D5219">
            <w:pPr>
              <w:pStyle w:val="Header"/>
              <w:numPr>
                <w:ilvl w:val="0"/>
                <w:numId w:val="5"/>
              </w:numPr>
              <w:jc w:val="both"/>
            </w:pPr>
            <w:r>
              <w:t xml:space="preserve">if the facility is </w:t>
            </w:r>
            <w:r>
              <w:t>operated by a service provider, direct the police or sheriff's department, as applicable, to order the service provider operating the facility to stop providing navigation services at the facility.</w:t>
            </w:r>
          </w:p>
          <w:p w14:paraId="05DE2D19" w14:textId="77777777" w:rsidR="00595648" w:rsidRDefault="00595648" w:rsidP="004D5219">
            <w:pPr>
              <w:pStyle w:val="Header"/>
              <w:jc w:val="both"/>
            </w:pPr>
          </w:p>
          <w:p w14:paraId="4B3E2BAC" w14:textId="3DAF1C82" w:rsidR="00595648" w:rsidRDefault="00D25E28" w:rsidP="004D5219">
            <w:pPr>
              <w:pStyle w:val="Header"/>
              <w:jc w:val="both"/>
            </w:pPr>
            <w:r>
              <w:t xml:space="preserve">C.S.S.B. 2623 makes a service provider that the attorney general determines has violated the prohibition and that does not stop providing navigation services as ordered liable to the state for a civil penalty of $5,000 for each day after the date the service provider receives </w:t>
            </w:r>
            <w:r w:rsidR="0043480A">
              <w:t xml:space="preserve">the </w:t>
            </w:r>
            <w:r>
              <w:t>order. The bill authorizes the attorney general to bring an action for injunctive relief or to recover such a civil penalty and to direct the secretary of state to revoke or terminate a service provider's registration or certificate of formation. The bill waives governmental immunity to suit and from liability to the extent of liability created by the bill. The bill authorizes the attorney general to recover reasonable attorney's fees and court costs incurred in bringing such an action.</w:t>
            </w:r>
          </w:p>
          <w:p w14:paraId="39E311D5" w14:textId="77777777" w:rsidR="00595648" w:rsidRDefault="00595648" w:rsidP="004D5219">
            <w:pPr>
              <w:pStyle w:val="Header"/>
              <w:jc w:val="both"/>
            </w:pPr>
          </w:p>
          <w:p w14:paraId="342C432B" w14:textId="1D6E495C" w:rsidR="00F413D9" w:rsidRDefault="00D25E28" w:rsidP="004D5219">
            <w:pPr>
              <w:pStyle w:val="Header"/>
              <w:jc w:val="both"/>
            </w:pPr>
            <w:r>
              <w:t xml:space="preserve">C.S.S.B. 2623 prohibits an </w:t>
            </w:r>
            <w:r w:rsidRPr="00897F16">
              <w:t>independent school district</w:t>
            </w:r>
            <w:r>
              <w:t xml:space="preserve"> from doing the following:</w:t>
            </w:r>
          </w:p>
          <w:p w14:paraId="211993ED" w14:textId="77777777" w:rsidR="00F413D9" w:rsidRDefault="00D25E28" w:rsidP="004D5219">
            <w:pPr>
              <w:pStyle w:val="Header"/>
              <w:numPr>
                <w:ilvl w:val="0"/>
                <w:numId w:val="7"/>
              </w:numPr>
              <w:jc w:val="both"/>
            </w:pPr>
            <w:r>
              <w:t xml:space="preserve">locating </w:t>
            </w:r>
            <w:r w:rsidRPr="00897F16">
              <w:t>a new campus within 1,500 feet of a facility</w:t>
            </w:r>
            <w:r>
              <w:t xml:space="preserve"> </w:t>
            </w:r>
            <w:r w:rsidRPr="00897F16">
              <w:t>that is providing navigation services</w:t>
            </w:r>
            <w:r>
              <w:t xml:space="preserve"> and </w:t>
            </w:r>
            <w:r w:rsidRPr="00897F16">
              <w:t>at which the service provider operating the facility intends to provide navigation services at the time the new independent school district campus is open to students</w:t>
            </w:r>
            <w:r>
              <w:t>; and</w:t>
            </w:r>
          </w:p>
          <w:p w14:paraId="566D3451" w14:textId="1A538856" w:rsidR="00F413D9" w:rsidRDefault="00D25E28" w:rsidP="004D5219">
            <w:pPr>
              <w:pStyle w:val="Header"/>
              <w:numPr>
                <w:ilvl w:val="0"/>
                <w:numId w:val="7"/>
              </w:numPr>
              <w:jc w:val="both"/>
            </w:pPr>
            <w:r>
              <w:t xml:space="preserve">reopening </w:t>
            </w:r>
            <w:r w:rsidRPr="00897F16">
              <w:t>a closed campus or other property serving students of the district if the campus or other property is located within 1,500 feet of a facility providing navigation services.</w:t>
            </w:r>
          </w:p>
          <w:p w14:paraId="35F157D9" w14:textId="2B010319" w:rsidR="00E00E72" w:rsidRDefault="00D25E28" w:rsidP="004D5219">
            <w:pPr>
              <w:pStyle w:val="Header"/>
              <w:jc w:val="both"/>
            </w:pPr>
            <w:r>
              <w:t xml:space="preserve">The bill requires a school district board of trustees to consult with the task force to implement these </w:t>
            </w:r>
            <w:r w:rsidR="00706DE1">
              <w:t>prohibitions</w:t>
            </w:r>
            <w:r>
              <w:t>.</w:t>
            </w:r>
          </w:p>
          <w:p w14:paraId="59FE340C" w14:textId="77777777" w:rsidR="00595648" w:rsidRDefault="00595648" w:rsidP="004D5219">
            <w:pPr>
              <w:pStyle w:val="Header"/>
              <w:jc w:val="both"/>
            </w:pPr>
          </w:p>
          <w:p w14:paraId="27A763F4" w14:textId="5EECBF22" w:rsidR="00595648" w:rsidRPr="00107B92" w:rsidRDefault="00D25E28" w:rsidP="004D5219">
            <w:pPr>
              <w:pStyle w:val="Header"/>
              <w:jc w:val="both"/>
              <w:rPr>
                <w:b/>
                <w:bCs/>
              </w:rPr>
            </w:pPr>
            <w:r>
              <w:rPr>
                <w:b/>
                <w:bCs/>
              </w:rPr>
              <w:t>Applicability and Task Force Considerations</w:t>
            </w:r>
          </w:p>
          <w:p w14:paraId="0103DDC2" w14:textId="77777777" w:rsidR="00874C7D" w:rsidRDefault="00874C7D" w:rsidP="004D5219">
            <w:pPr>
              <w:pStyle w:val="Header"/>
              <w:jc w:val="both"/>
            </w:pPr>
          </w:p>
          <w:p w14:paraId="14B3524C" w14:textId="2167CD71" w:rsidR="00874C7D" w:rsidRDefault="00D25E28" w:rsidP="004D5219">
            <w:pPr>
              <w:pStyle w:val="Header"/>
              <w:jc w:val="both"/>
            </w:pPr>
            <w:r>
              <w:t>C.S.</w:t>
            </w:r>
            <w:r w:rsidR="004B3DF7">
              <w:t xml:space="preserve">S.B. 2623 does </w:t>
            </w:r>
            <w:r>
              <w:t>not apply to navigation services provided</w:t>
            </w:r>
            <w:r w:rsidR="00F413D9">
              <w:t xml:space="preserve"> as follows</w:t>
            </w:r>
            <w:r>
              <w:t>:</w:t>
            </w:r>
          </w:p>
          <w:p w14:paraId="68667F81" w14:textId="37A5DFED" w:rsidR="004B3DF7" w:rsidRDefault="00D25E28" w:rsidP="004D5219">
            <w:pPr>
              <w:pStyle w:val="Header"/>
              <w:numPr>
                <w:ilvl w:val="0"/>
                <w:numId w:val="3"/>
              </w:numPr>
              <w:jc w:val="both"/>
            </w:pPr>
            <w:r>
              <w:t xml:space="preserve">at a location operating as an emergency shelter during a </w:t>
            </w:r>
            <w:r w:rsidR="004C59B8">
              <w:t xml:space="preserve">declared </w:t>
            </w:r>
            <w:r>
              <w:t>state of disaster or a</w:t>
            </w:r>
            <w:r w:rsidR="004C59B8">
              <w:t xml:space="preserve"> declared</w:t>
            </w:r>
            <w:r>
              <w:t xml:space="preserve"> local state of disaster; </w:t>
            </w:r>
          </w:p>
          <w:p w14:paraId="1AE768C2" w14:textId="64429F15" w:rsidR="00874C7D" w:rsidRDefault="00D25E28" w:rsidP="004D5219">
            <w:pPr>
              <w:pStyle w:val="Header"/>
              <w:numPr>
                <w:ilvl w:val="0"/>
                <w:numId w:val="3"/>
              </w:numPr>
              <w:jc w:val="both"/>
            </w:pPr>
            <w:r>
              <w:t>at a facility located between 300 feet and 1,500 feet from a school safety zone, if</w:t>
            </w:r>
            <w:r w:rsidR="004B3DF7">
              <w:t xml:space="preserve"> </w:t>
            </w:r>
            <w:r>
              <w:t>the service provider operating the facility demonstrates to the task force that the provision of navigation services at the facility does not affect school safety</w:t>
            </w:r>
            <w:r w:rsidR="004B3DF7">
              <w:t xml:space="preserve"> and </w:t>
            </w:r>
            <w:r>
              <w:t xml:space="preserve">the task force, after consideration of the </w:t>
            </w:r>
            <w:r w:rsidR="004C59B8">
              <w:t xml:space="preserve">applicable </w:t>
            </w:r>
            <w:r>
              <w:t>factors, determines that the provision of navigation services at the facility does not affect school safety;</w:t>
            </w:r>
          </w:p>
          <w:p w14:paraId="6D849781" w14:textId="2E03E644" w:rsidR="00874C7D" w:rsidRDefault="00D25E28" w:rsidP="004D5219">
            <w:pPr>
              <w:pStyle w:val="Header"/>
              <w:numPr>
                <w:ilvl w:val="0"/>
                <w:numId w:val="3"/>
              </w:numPr>
              <w:jc w:val="both"/>
            </w:pPr>
            <w:r>
              <w:t>within 1,500 feet of a</w:t>
            </w:r>
            <w:r w:rsidR="004C59B8">
              <w:t xml:space="preserve"> public</w:t>
            </w:r>
            <w:r>
              <w:t xml:space="preserve"> institution of higher education, if the governing body of the institution by official action</w:t>
            </w:r>
            <w:r w:rsidR="004B3DF7">
              <w:t xml:space="preserve"> </w:t>
            </w:r>
            <w:r>
              <w:t>elects to authorize the provision of navigation services within 1,500 feet of the institution</w:t>
            </w:r>
            <w:r w:rsidR="004B3DF7">
              <w:t xml:space="preserve"> a</w:t>
            </w:r>
            <w:r>
              <w:t>nd</w:t>
            </w:r>
            <w:r w:rsidR="004B3DF7">
              <w:t xml:space="preserve"> </w:t>
            </w:r>
            <w:r>
              <w:t>gives notice of the governing body's determination to the task force and the municipality and county within which the institution is located;</w:t>
            </w:r>
          </w:p>
          <w:p w14:paraId="4A837F33" w14:textId="772ADD13" w:rsidR="00874C7D" w:rsidRDefault="00D25E28" w:rsidP="004D5219">
            <w:pPr>
              <w:pStyle w:val="Header"/>
              <w:numPr>
                <w:ilvl w:val="0"/>
                <w:numId w:val="3"/>
              </w:numPr>
              <w:jc w:val="both"/>
            </w:pPr>
            <w:r>
              <w:t>at a facility located within 1,500 feet of an independent school district campus or institution of higher education that is more than 20 acres in area;</w:t>
            </w:r>
          </w:p>
          <w:p w14:paraId="512E9CBF" w14:textId="3CA273BB" w:rsidR="00874C7D" w:rsidRDefault="00D25E28" w:rsidP="004D5219">
            <w:pPr>
              <w:pStyle w:val="Header"/>
              <w:numPr>
                <w:ilvl w:val="0"/>
                <w:numId w:val="3"/>
              </w:numPr>
              <w:jc w:val="both"/>
            </w:pPr>
            <w:r>
              <w:t>by an independent school district to enrolled students and families of enrolled students of the district;</w:t>
            </w:r>
          </w:p>
          <w:p w14:paraId="2B14DCED" w14:textId="6060194F" w:rsidR="00874C7D" w:rsidRDefault="00D25E28" w:rsidP="004D5219">
            <w:pPr>
              <w:pStyle w:val="Header"/>
              <w:numPr>
                <w:ilvl w:val="0"/>
                <w:numId w:val="3"/>
              </w:numPr>
              <w:jc w:val="both"/>
            </w:pPr>
            <w:r>
              <w:t>by a municipal or county jail;</w:t>
            </w:r>
          </w:p>
          <w:p w14:paraId="05270757" w14:textId="36B8A136" w:rsidR="00874C7D" w:rsidRDefault="00D25E28" w:rsidP="004D5219">
            <w:pPr>
              <w:pStyle w:val="Header"/>
              <w:numPr>
                <w:ilvl w:val="0"/>
                <w:numId w:val="3"/>
              </w:numPr>
              <w:jc w:val="both"/>
            </w:pPr>
            <w:r>
              <w:t xml:space="preserve">by a hospital or health system or a contracted or employed affiliate of a hospital or health system operating under </w:t>
            </w:r>
            <w:r w:rsidR="008834BE">
              <w:t xml:space="preserve">the </w:t>
            </w:r>
            <w:r w:rsidR="004C59B8">
              <w:t>Texas Hospital Licensing Law</w:t>
            </w:r>
            <w:r>
              <w:t>;</w:t>
            </w:r>
          </w:p>
          <w:p w14:paraId="5B247557" w14:textId="01E58B8F" w:rsidR="00874C7D" w:rsidRDefault="00D25E28" w:rsidP="004D5219">
            <w:pPr>
              <w:pStyle w:val="Header"/>
              <w:numPr>
                <w:ilvl w:val="0"/>
                <w:numId w:val="3"/>
              </w:numPr>
              <w:jc w:val="both"/>
            </w:pPr>
            <w:r>
              <w:t xml:space="preserve">by a local mental health authority, defined </w:t>
            </w:r>
            <w:r w:rsidR="004C59B8">
              <w:t xml:space="preserve">by reference </w:t>
            </w:r>
            <w:r w:rsidR="00706DE1">
              <w:t>to Health and Safety Code provisions generally applicable to mental health and intellectual disability services</w:t>
            </w:r>
            <w:r>
              <w:t>;</w:t>
            </w:r>
          </w:p>
          <w:p w14:paraId="14572BA0" w14:textId="42FECA36" w:rsidR="00874C7D" w:rsidRDefault="00D25E28" w:rsidP="004D5219">
            <w:pPr>
              <w:pStyle w:val="Header"/>
              <w:numPr>
                <w:ilvl w:val="0"/>
                <w:numId w:val="3"/>
              </w:numPr>
              <w:jc w:val="both"/>
            </w:pPr>
            <w:r>
              <w:t xml:space="preserve">by a local behavioral health authority designated by </w:t>
            </w:r>
            <w:r w:rsidR="000209E5">
              <w:t>DSHS</w:t>
            </w:r>
            <w:r w:rsidR="008834BE">
              <w:t>;</w:t>
            </w:r>
          </w:p>
          <w:p w14:paraId="54933C3E" w14:textId="7CD85A02" w:rsidR="00874C7D" w:rsidRDefault="00D25E28" w:rsidP="004D5219">
            <w:pPr>
              <w:pStyle w:val="Header"/>
              <w:numPr>
                <w:ilvl w:val="0"/>
                <w:numId w:val="3"/>
              </w:numPr>
              <w:jc w:val="both"/>
            </w:pPr>
            <w:r>
              <w:t xml:space="preserve">by a hospital district created under the </w:t>
            </w:r>
            <w:r w:rsidR="004C59B8">
              <w:t>applicable state constitutional authority</w:t>
            </w:r>
            <w:r>
              <w:t>;</w:t>
            </w:r>
          </w:p>
          <w:p w14:paraId="1A137515" w14:textId="17B4DA07" w:rsidR="00874C7D" w:rsidRDefault="00D25E28" w:rsidP="004D5219">
            <w:pPr>
              <w:pStyle w:val="Header"/>
              <w:numPr>
                <w:ilvl w:val="0"/>
                <w:numId w:val="3"/>
              </w:numPr>
              <w:jc w:val="both"/>
            </w:pPr>
            <w:r>
              <w:t xml:space="preserve">by a federally qualified health center as defined by </w:t>
            </w:r>
            <w:r w:rsidR="004C59B8">
              <w:t>federal law</w:t>
            </w:r>
            <w:r>
              <w:t xml:space="preserve"> or a federally qualified health center look-alike organized and operated under the authority of and in compliance with </w:t>
            </w:r>
            <w:r w:rsidR="004C59B8">
              <w:t>federal law</w:t>
            </w:r>
            <w:r>
              <w:t>;</w:t>
            </w:r>
          </w:p>
          <w:p w14:paraId="6BAACFBD" w14:textId="43C5013C" w:rsidR="00874C7D" w:rsidRDefault="00D25E28" w:rsidP="004D5219">
            <w:pPr>
              <w:pStyle w:val="Header"/>
              <w:numPr>
                <w:ilvl w:val="0"/>
                <w:numId w:val="3"/>
              </w:numPr>
              <w:jc w:val="both"/>
            </w:pPr>
            <w:r>
              <w:t>by a facility offering chemical dependency treatment;</w:t>
            </w:r>
          </w:p>
          <w:p w14:paraId="77F392AE" w14:textId="77116E2F" w:rsidR="004C59B8" w:rsidRDefault="00D25E28" w:rsidP="004D5219">
            <w:pPr>
              <w:pStyle w:val="Header"/>
              <w:numPr>
                <w:ilvl w:val="0"/>
                <w:numId w:val="3"/>
              </w:numPr>
              <w:jc w:val="both"/>
            </w:pPr>
            <w:r>
              <w:t>by a facility offering a narcotic drug treatment</w:t>
            </w:r>
            <w:r w:rsidR="003D27E6">
              <w:t xml:space="preserve"> program</w:t>
            </w:r>
            <w:r w:rsidRPr="004C59B8">
              <w:t>;</w:t>
            </w:r>
          </w:p>
          <w:p w14:paraId="68FDE852" w14:textId="039E83FC" w:rsidR="001867CB" w:rsidRDefault="00D25E28" w:rsidP="004D5219">
            <w:pPr>
              <w:pStyle w:val="Header"/>
              <w:numPr>
                <w:ilvl w:val="0"/>
                <w:numId w:val="3"/>
              </w:numPr>
              <w:jc w:val="both"/>
            </w:pPr>
            <w:r>
              <w:t>by a community center;</w:t>
            </w:r>
          </w:p>
          <w:p w14:paraId="7B421813" w14:textId="137B41E6" w:rsidR="00874C7D" w:rsidRDefault="00D25E28" w:rsidP="004D5219">
            <w:pPr>
              <w:pStyle w:val="Header"/>
              <w:numPr>
                <w:ilvl w:val="0"/>
                <w:numId w:val="3"/>
              </w:numPr>
              <w:jc w:val="both"/>
            </w:pPr>
            <w:r>
              <w:t>by a mental health facility;</w:t>
            </w:r>
          </w:p>
          <w:p w14:paraId="45326425" w14:textId="49048229" w:rsidR="00874C7D" w:rsidRDefault="00D25E28" w:rsidP="004D5219">
            <w:pPr>
              <w:pStyle w:val="Header"/>
              <w:numPr>
                <w:ilvl w:val="0"/>
                <w:numId w:val="3"/>
              </w:numPr>
              <w:jc w:val="both"/>
            </w:pPr>
            <w:r>
              <w:t>by a family violence center; or</w:t>
            </w:r>
          </w:p>
          <w:p w14:paraId="4E938310" w14:textId="67E2E601" w:rsidR="00874C7D" w:rsidRDefault="00D25E28" w:rsidP="004D5219">
            <w:pPr>
              <w:pStyle w:val="Header"/>
              <w:numPr>
                <w:ilvl w:val="0"/>
                <w:numId w:val="3"/>
              </w:numPr>
              <w:jc w:val="both"/>
            </w:pPr>
            <w:r>
              <w:t>at a facility located within 1,500 feet of a school safety zone that is separated from the school safety zone by a state highway or controlled access highway.</w:t>
            </w:r>
          </w:p>
          <w:p w14:paraId="0C17DBD3" w14:textId="77777777" w:rsidR="00874C7D" w:rsidRDefault="00874C7D" w:rsidP="004D5219">
            <w:pPr>
              <w:pStyle w:val="Header"/>
              <w:jc w:val="both"/>
            </w:pPr>
          </w:p>
          <w:p w14:paraId="0A58ED6C" w14:textId="44B2DD23" w:rsidR="00874C7D" w:rsidRDefault="00D25E28" w:rsidP="004D5219">
            <w:pPr>
              <w:pStyle w:val="Header"/>
              <w:jc w:val="both"/>
            </w:pPr>
            <w:r>
              <w:t>C.S.</w:t>
            </w:r>
            <w:r w:rsidR="004C59B8">
              <w:t>S.B. 2623 requires the task force to consider the following</w:t>
            </w:r>
            <w:r w:rsidR="000209E5">
              <w:t xml:space="preserve"> information</w:t>
            </w:r>
            <w:r w:rsidR="004C59B8">
              <w:t xml:space="preserve"> i</w:t>
            </w:r>
            <w:r>
              <w:t>n determining whether the provision of navigation services at a facility does not affect school safety</w:t>
            </w:r>
            <w:r w:rsidR="00A77160">
              <w:t>:</w:t>
            </w:r>
          </w:p>
          <w:p w14:paraId="558D82DA" w14:textId="3FDFC202" w:rsidR="00874C7D" w:rsidRDefault="00D25E28" w:rsidP="004D5219">
            <w:pPr>
              <w:pStyle w:val="Header"/>
              <w:numPr>
                <w:ilvl w:val="0"/>
                <w:numId w:val="4"/>
              </w:numPr>
              <w:jc w:val="both"/>
            </w:pPr>
            <w:r>
              <w:t>the effect of the provision of navigation services at the facility on public health and safety within 1,500 feet of the facility, including the number of calls for service from a law enforcement or fire protection agency or calls for emergency medical services to an address within 500 feet of the facility within the last 12 months;</w:t>
            </w:r>
          </w:p>
          <w:p w14:paraId="61225A27" w14:textId="062294E1" w:rsidR="00874C7D" w:rsidRDefault="00D25E28" w:rsidP="004D5219">
            <w:pPr>
              <w:pStyle w:val="Header"/>
              <w:numPr>
                <w:ilvl w:val="0"/>
                <w:numId w:val="4"/>
              </w:numPr>
              <w:jc w:val="both"/>
            </w:pPr>
            <w:r>
              <w:t>the type of clients the facility serves, including the degree to which the facility serves children, families, or single adults;</w:t>
            </w:r>
          </w:p>
          <w:p w14:paraId="00DBEDCE" w14:textId="77B64085" w:rsidR="00874C7D" w:rsidRDefault="00D25E28" w:rsidP="004D5219">
            <w:pPr>
              <w:pStyle w:val="Header"/>
              <w:numPr>
                <w:ilvl w:val="0"/>
                <w:numId w:val="4"/>
              </w:numPr>
              <w:jc w:val="both"/>
            </w:pPr>
            <w:r>
              <w:t>the type of services the facility provides, including shelter, drug treatment, and mental health services;</w:t>
            </w:r>
          </w:p>
          <w:p w14:paraId="4CE348E5" w14:textId="25D624C8" w:rsidR="00874C7D" w:rsidRDefault="00D25E28" w:rsidP="004D5219">
            <w:pPr>
              <w:pStyle w:val="Header"/>
              <w:numPr>
                <w:ilvl w:val="0"/>
                <w:numId w:val="4"/>
              </w:numPr>
              <w:jc w:val="both"/>
            </w:pPr>
            <w:r>
              <w:t>whether the facility requires clients to enter into a contract for service that prohibits the use of drugs or alcohol, and the effectiveness of the contract program; and</w:t>
            </w:r>
          </w:p>
          <w:p w14:paraId="5D4C85C4" w14:textId="234DC6E1" w:rsidR="00874C7D" w:rsidRDefault="00D25E28" w:rsidP="004D5219">
            <w:pPr>
              <w:pStyle w:val="Header"/>
              <w:numPr>
                <w:ilvl w:val="0"/>
                <w:numId w:val="4"/>
              </w:numPr>
              <w:jc w:val="both"/>
            </w:pPr>
            <w:r>
              <w:t>support for or opposition to the facility from:</w:t>
            </w:r>
          </w:p>
          <w:p w14:paraId="3B11B7C9" w14:textId="79D35E62" w:rsidR="00874C7D" w:rsidRDefault="00D25E28" w:rsidP="004D5219">
            <w:pPr>
              <w:pStyle w:val="Header"/>
              <w:numPr>
                <w:ilvl w:val="1"/>
                <w:numId w:val="4"/>
              </w:numPr>
              <w:jc w:val="both"/>
            </w:pPr>
            <w:r>
              <w:t>individuals residing within 1,500 feet of the facility;</w:t>
            </w:r>
          </w:p>
          <w:p w14:paraId="57B79AF0" w14:textId="3CD8BBBB" w:rsidR="00874C7D" w:rsidRDefault="00D25E28" w:rsidP="004D5219">
            <w:pPr>
              <w:pStyle w:val="Header"/>
              <w:numPr>
                <w:ilvl w:val="1"/>
                <w:numId w:val="4"/>
              </w:numPr>
              <w:jc w:val="both"/>
            </w:pPr>
            <w:r>
              <w:t>businesses operating within 1,500 feet of the facility;</w:t>
            </w:r>
          </w:p>
          <w:p w14:paraId="10024EAE" w14:textId="61A6BE96" w:rsidR="00874C7D" w:rsidRDefault="00D25E28" w:rsidP="004D5219">
            <w:pPr>
              <w:pStyle w:val="Header"/>
              <w:numPr>
                <w:ilvl w:val="1"/>
                <w:numId w:val="4"/>
              </w:numPr>
              <w:jc w:val="both"/>
            </w:pPr>
            <w:r>
              <w:t>elected officials of the municipality, county, or school district in which the facility is located; and</w:t>
            </w:r>
          </w:p>
          <w:p w14:paraId="30E3DF2A" w14:textId="54EA6F89" w:rsidR="00874C7D" w:rsidRDefault="00D25E28" w:rsidP="004D5219">
            <w:pPr>
              <w:pStyle w:val="Header"/>
              <w:numPr>
                <w:ilvl w:val="1"/>
                <w:numId w:val="4"/>
              </w:numPr>
              <w:jc w:val="both"/>
            </w:pPr>
            <w:r>
              <w:t>other service providers of facilities that provide navigation services within 1,500 feet of a school safety zone.</w:t>
            </w:r>
          </w:p>
          <w:p w14:paraId="11C5CC92" w14:textId="77777777" w:rsidR="001919F4" w:rsidRDefault="001919F4" w:rsidP="004D5219">
            <w:pPr>
              <w:pStyle w:val="Header"/>
              <w:jc w:val="both"/>
            </w:pPr>
          </w:p>
          <w:p w14:paraId="749A045F" w14:textId="3E014156" w:rsidR="00E00E72" w:rsidRDefault="00D25E28" w:rsidP="004D5219">
            <w:pPr>
              <w:pStyle w:val="Header"/>
              <w:jc w:val="both"/>
              <w:rPr>
                <w:b/>
                <w:bCs/>
              </w:rPr>
            </w:pPr>
            <w:r>
              <w:rPr>
                <w:b/>
                <w:bCs/>
              </w:rPr>
              <w:t>Definitions</w:t>
            </w:r>
          </w:p>
          <w:p w14:paraId="5129DBBD" w14:textId="77777777" w:rsidR="0078079E" w:rsidRPr="00107B92" w:rsidRDefault="0078079E" w:rsidP="004D5219">
            <w:pPr>
              <w:pStyle w:val="Header"/>
              <w:jc w:val="both"/>
              <w:rPr>
                <w:b/>
                <w:bCs/>
              </w:rPr>
            </w:pPr>
          </w:p>
          <w:p w14:paraId="4C855C1A" w14:textId="4A5F82AF" w:rsidR="001919F4" w:rsidRDefault="00D25E28" w:rsidP="004D5219">
            <w:pPr>
              <w:pStyle w:val="Header"/>
              <w:jc w:val="both"/>
            </w:pPr>
            <w:r>
              <w:t xml:space="preserve">C.S.S.B. 2623 defines the </w:t>
            </w:r>
            <w:r>
              <w:t>following terms for purposes of its provisions:</w:t>
            </w:r>
          </w:p>
          <w:p w14:paraId="36B092A5" w14:textId="3857AB9D" w:rsidR="001919F4" w:rsidRDefault="00D25E28" w:rsidP="004D5219">
            <w:pPr>
              <w:pStyle w:val="Header"/>
              <w:numPr>
                <w:ilvl w:val="0"/>
                <w:numId w:val="6"/>
              </w:numPr>
              <w:jc w:val="both"/>
            </w:pPr>
            <w:r>
              <w:t>"emergency care" as bona fide emergency services provided after a sudden onset of a medical or traumatic condition manifested by acute symptoms of sufficient severity, including severe pain, that the absence of immediate medical attention could reasonably be expected to:</w:t>
            </w:r>
          </w:p>
          <w:p w14:paraId="4726A6C9" w14:textId="00016B12" w:rsidR="001919F4" w:rsidRDefault="00D25E28" w:rsidP="004D5219">
            <w:pPr>
              <w:pStyle w:val="Header"/>
              <w:numPr>
                <w:ilvl w:val="1"/>
                <w:numId w:val="6"/>
              </w:numPr>
              <w:jc w:val="both"/>
            </w:pPr>
            <w:r>
              <w:t>place the patient's health in serious jeopardy;</w:t>
            </w:r>
          </w:p>
          <w:p w14:paraId="1804F42D" w14:textId="478F7535" w:rsidR="001919F4" w:rsidRDefault="00D25E28" w:rsidP="004D5219">
            <w:pPr>
              <w:pStyle w:val="Header"/>
              <w:numPr>
                <w:ilvl w:val="1"/>
                <w:numId w:val="6"/>
              </w:numPr>
              <w:jc w:val="both"/>
            </w:pPr>
            <w:r>
              <w:t>result in serious impairment to the patient's bodily functions; or</w:t>
            </w:r>
          </w:p>
          <w:p w14:paraId="683A4115" w14:textId="4947398E" w:rsidR="001919F4" w:rsidRDefault="00D25E28" w:rsidP="004D5219">
            <w:pPr>
              <w:pStyle w:val="Header"/>
              <w:numPr>
                <w:ilvl w:val="1"/>
                <w:numId w:val="6"/>
              </w:numPr>
              <w:jc w:val="both"/>
            </w:pPr>
            <w:r>
              <w:t>result in serious dysfunction of any bodily organ or body part of the patient</w:t>
            </w:r>
            <w:r w:rsidR="00830023">
              <w:t>;</w:t>
            </w:r>
          </w:p>
          <w:p w14:paraId="43B325B6" w14:textId="07B82F20" w:rsidR="001867CB" w:rsidRDefault="00D25E28" w:rsidP="004D5219">
            <w:pPr>
              <w:pStyle w:val="Header"/>
              <w:numPr>
                <w:ilvl w:val="0"/>
                <w:numId w:val="6"/>
              </w:numPr>
              <w:jc w:val="both"/>
            </w:pPr>
            <w:r>
              <w:t xml:space="preserve">"park" </w:t>
            </w:r>
            <w:r w:rsidR="0078079E">
              <w:t>as</w:t>
            </w:r>
            <w:r>
              <w:t xml:space="preserve"> any outdoor facility that is not on the premises of a school, </w:t>
            </w:r>
            <w:r w:rsidR="0078079E">
              <w:t xml:space="preserve">is </w:t>
            </w:r>
            <w:r>
              <w:t>intended for recreation, and</w:t>
            </w:r>
            <w:r w:rsidR="0078079E">
              <w:t xml:space="preserve"> is</w:t>
            </w:r>
            <w:r>
              <w:t xml:space="preserve"> open to the public</w:t>
            </w:r>
            <w:r w:rsidR="00E00E72">
              <w:t>;</w:t>
            </w:r>
            <w:r w:rsidR="0078079E">
              <w:t xml:space="preserve"> and</w:t>
            </w:r>
          </w:p>
          <w:p w14:paraId="0843C59D" w14:textId="4DDC6747" w:rsidR="001919F4" w:rsidRPr="009C36CD" w:rsidRDefault="00D25E28" w:rsidP="004D5219">
            <w:pPr>
              <w:pStyle w:val="Header"/>
              <w:numPr>
                <w:ilvl w:val="0"/>
                <w:numId w:val="6"/>
              </w:numPr>
              <w:jc w:val="both"/>
            </w:pPr>
            <w:r>
              <w:t>"</w:t>
            </w:r>
            <w:r w:rsidR="00830023">
              <w:t>p</w:t>
            </w:r>
            <w:r>
              <w:t xml:space="preserve">remises" </w:t>
            </w:r>
            <w:r w:rsidR="00830023">
              <w:t xml:space="preserve">by reference </w:t>
            </w:r>
            <w:r w:rsidR="002F652B">
              <w:t>to the Texas Controlled Substances Act</w:t>
            </w:r>
            <w:r w:rsidR="0078079E">
              <w:t>.</w:t>
            </w:r>
          </w:p>
          <w:p w14:paraId="4BC4915F" w14:textId="77777777" w:rsidR="008423E4" w:rsidRPr="00835628" w:rsidRDefault="008423E4" w:rsidP="004D5219">
            <w:pPr>
              <w:rPr>
                <w:b/>
              </w:rPr>
            </w:pPr>
          </w:p>
        </w:tc>
      </w:tr>
      <w:tr w:rsidR="00595C03" w14:paraId="21B67074" w14:textId="77777777" w:rsidTr="00345119">
        <w:tc>
          <w:tcPr>
            <w:tcW w:w="9576" w:type="dxa"/>
          </w:tcPr>
          <w:p w14:paraId="42E618E5" w14:textId="77777777" w:rsidR="008423E4" w:rsidRPr="00A8133F" w:rsidRDefault="00D25E28" w:rsidP="004D5219">
            <w:pPr>
              <w:rPr>
                <w:b/>
              </w:rPr>
            </w:pPr>
            <w:r w:rsidRPr="009C1E9A">
              <w:rPr>
                <w:b/>
                <w:u w:val="single"/>
              </w:rPr>
              <w:t>EFFECTIVE DATE</w:t>
            </w:r>
            <w:r>
              <w:rPr>
                <w:b/>
              </w:rPr>
              <w:t xml:space="preserve"> </w:t>
            </w:r>
          </w:p>
          <w:p w14:paraId="1055EB0D" w14:textId="77777777" w:rsidR="008423E4" w:rsidRDefault="008423E4" w:rsidP="004D5219"/>
          <w:p w14:paraId="4B270DBD" w14:textId="02CB8401" w:rsidR="008423E4" w:rsidRPr="003624F2" w:rsidRDefault="00D25E28" w:rsidP="004D5219">
            <w:pPr>
              <w:pStyle w:val="Header"/>
              <w:tabs>
                <w:tab w:val="clear" w:pos="4320"/>
                <w:tab w:val="clear" w:pos="8640"/>
              </w:tabs>
              <w:jc w:val="both"/>
            </w:pPr>
            <w:r>
              <w:t>September 1, 2025.</w:t>
            </w:r>
          </w:p>
          <w:p w14:paraId="3446F875" w14:textId="77777777" w:rsidR="008423E4" w:rsidRPr="00233FDB" w:rsidRDefault="008423E4" w:rsidP="004D5219">
            <w:pPr>
              <w:rPr>
                <w:b/>
              </w:rPr>
            </w:pPr>
          </w:p>
        </w:tc>
      </w:tr>
      <w:tr w:rsidR="00595C03" w14:paraId="684523DB" w14:textId="77777777" w:rsidTr="00345119">
        <w:tc>
          <w:tcPr>
            <w:tcW w:w="9576" w:type="dxa"/>
          </w:tcPr>
          <w:p w14:paraId="6DACAD7A" w14:textId="77777777" w:rsidR="00117FF2" w:rsidRDefault="00D25E28" w:rsidP="004D5219">
            <w:pPr>
              <w:jc w:val="both"/>
              <w:rPr>
                <w:b/>
                <w:u w:val="single"/>
              </w:rPr>
            </w:pPr>
            <w:r>
              <w:rPr>
                <w:b/>
                <w:u w:val="single"/>
              </w:rPr>
              <w:t>COMPARISON OF SENATE ENGROSSED AND SUBSTITUTE</w:t>
            </w:r>
          </w:p>
          <w:p w14:paraId="2115A95D" w14:textId="77777777" w:rsidR="00EA2EFF" w:rsidRDefault="00EA2EFF" w:rsidP="004D5219">
            <w:pPr>
              <w:jc w:val="both"/>
            </w:pPr>
          </w:p>
          <w:p w14:paraId="7B1811D4" w14:textId="5CAE8740" w:rsidR="00EA2EFF" w:rsidRDefault="00D25E28" w:rsidP="004D5219">
            <w:pPr>
              <w:jc w:val="both"/>
            </w:pPr>
            <w:r>
              <w:t>While C.S.S.B. 2623 may differ from the engrossed in minor or nonsubstantive ways, the following summarizes the substantial differences between the engrossed and committee substitute versions of the bill.</w:t>
            </w:r>
          </w:p>
          <w:p w14:paraId="2C2006BF" w14:textId="77777777" w:rsidR="00EA2EFF" w:rsidRDefault="00EA2EFF" w:rsidP="004D5219">
            <w:pPr>
              <w:jc w:val="both"/>
              <w:rPr>
                <w:b/>
                <w:u w:val="single"/>
              </w:rPr>
            </w:pPr>
          </w:p>
          <w:p w14:paraId="78B68401" w14:textId="21ADDCCB" w:rsidR="00EA2EFF" w:rsidRDefault="00D25E28" w:rsidP="004D5219">
            <w:pPr>
              <w:jc w:val="both"/>
              <w:rPr>
                <w:bCs/>
              </w:rPr>
            </w:pPr>
            <w:r>
              <w:rPr>
                <w:bCs/>
              </w:rPr>
              <w:t xml:space="preserve">The substitute includes a provision absent from the engrossed establishing that the bill's provisions </w:t>
            </w:r>
            <w:r w:rsidRPr="00EA2EFF">
              <w:rPr>
                <w:bCs/>
              </w:rPr>
              <w:t>do not apply to navigation services</w:t>
            </w:r>
            <w:r>
              <w:rPr>
                <w:bCs/>
              </w:rPr>
              <w:t xml:space="preserve"> provided by a community center.</w:t>
            </w:r>
          </w:p>
          <w:p w14:paraId="651B40C0" w14:textId="77777777" w:rsidR="00EA2EFF" w:rsidRDefault="00EA2EFF" w:rsidP="004D5219">
            <w:pPr>
              <w:jc w:val="both"/>
              <w:rPr>
                <w:bCs/>
              </w:rPr>
            </w:pPr>
          </w:p>
          <w:p w14:paraId="4AFD08BD" w14:textId="5E27A8BE" w:rsidR="00EA2EFF" w:rsidRPr="00EA2EFF" w:rsidRDefault="00D25E28" w:rsidP="004D5219">
            <w:pPr>
              <w:jc w:val="both"/>
              <w:rPr>
                <w:bCs/>
              </w:rPr>
            </w:pPr>
            <w:r>
              <w:rPr>
                <w:bCs/>
              </w:rPr>
              <w:t xml:space="preserve">While both the engrossed and the substitute define </w:t>
            </w:r>
            <w:r w:rsidRPr="00EA2EFF">
              <w:rPr>
                <w:bCs/>
              </w:rPr>
              <w:t xml:space="preserve">"school safety zone" as the premises of an independent school district campus that does not operate an adult education program </w:t>
            </w:r>
            <w:r w:rsidR="006278A0">
              <w:rPr>
                <w:bCs/>
              </w:rPr>
              <w:t xml:space="preserve">or </w:t>
            </w:r>
            <w:r w:rsidR="00054974">
              <w:rPr>
                <w:bCs/>
              </w:rPr>
              <w:t xml:space="preserve">the premises of </w:t>
            </w:r>
            <w:r>
              <w:rPr>
                <w:bCs/>
              </w:rPr>
              <w:t>an</w:t>
            </w:r>
            <w:r w:rsidRPr="00EA2EFF">
              <w:rPr>
                <w:bCs/>
              </w:rPr>
              <w:t xml:space="preserve"> institution of higher education</w:t>
            </w:r>
            <w:r>
              <w:rPr>
                <w:bCs/>
              </w:rPr>
              <w:t xml:space="preserve">, the substitute </w:t>
            </w:r>
            <w:r w:rsidR="00054974">
              <w:rPr>
                <w:bCs/>
              </w:rPr>
              <w:t>includes in that definition the premises of</w:t>
            </w:r>
            <w:r>
              <w:rPr>
                <w:bCs/>
              </w:rPr>
              <w:t xml:space="preserve"> a park. Accordingly, the substitute includes a provision </w:t>
            </w:r>
            <w:r w:rsidR="00054974">
              <w:rPr>
                <w:bCs/>
              </w:rPr>
              <w:t xml:space="preserve">absent from </w:t>
            </w:r>
            <w:r>
              <w:rPr>
                <w:bCs/>
              </w:rPr>
              <w:t>the engrossed defining "park</w:t>
            </w:r>
            <w:r w:rsidR="005B1622">
              <w:rPr>
                <w:bCs/>
              </w:rPr>
              <w:t>."</w:t>
            </w:r>
          </w:p>
        </w:tc>
      </w:tr>
      <w:tr w:rsidR="00595C03" w14:paraId="6126DBAA" w14:textId="77777777" w:rsidTr="00345119">
        <w:tc>
          <w:tcPr>
            <w:tcW w:w="9576" w:type="dxa"/>
          </w:tcPr>
          <w:p w14:paraId="4E16F0F6" w14:textId="77777777" w:rsidR="00117FF2" w:rsidRPr="009C1E9A" w:rsidRDefault="00117FF2" w:rsidP="004D5219">
            <w:pPr>
              <w:rPr>
                <w:b/>
                <w:u w:val="single"/>
              </w:rPr>
            </w:pPr>
          </w:p>
        </w:tc>
      </w:tr>
      <w:tr w:rsidR="00595C03" w14:paraId="3157E869" w14:textId="77777777" w:rsidTr="00345119">
        <w:tc>
          <w:tcPr>
            <w:tcW w:w="9576" w:type="dxa"/>
          </w:tcPr>
          <w:p w14:paraId="09418354" w14:textId="77777777" w:rsidR="00117FF2" w:rsidRPr="00117FF2" w:rsidRDefault="00117FF2" w:rsidP="004D5219">
            <w:pPr>
              <w:jc w:val="both"/>
            </w:pPr>
          </w:p>
        </w:tc>
      </w:tr>
    </w:tbl>
    <w:p w14:paraId="6F04E4B6" w14:textId="77777777" w:rsidR="008423E4" w:rsidRPr="00BE0E75" w:rsidRDefault="008423E4" w:rsidP="004D5219">
      <w:pPr>
        <w:jc w:val="both"/>
        <w:rPr>
          <w:rFonts w:ascii="Arial" w:hAnsi="Arial"/>
          <w:sz w:val="16"/>
          <w:szCs w:val="16"/>
        </w:rPr>
      </w:pPr>
    </w:p>
    <w:p w14:paraId="29C6FA67" w14:textId="77777777" w:rsidR="004108C3" w:rsidRPr="008423E4" w:rsidRDefault="004108C3" w:rsidP="004D521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6A1F" w14:textId="77777777" w:rsidR="00D25E28" w:rsidRDefault="00D25E28">
      <w:r>
        <w:separator/>
      </w:r>
    </w:p>
  </w:endnote>
  <w:endnote w:type="continuationSeparator" w:id="0">
    <w:p w14:paraId="1483EE19" w14:textId="77777777" w:rsidR="00D25E28" w:rsidRDefault="00D2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01F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95C03" w14:paraId="6280D75F" w14:textId="77777777" w:rsidTr="009C1E9A">
      <w:trPr>
        <w:cantSplit/>
      </w:trPr>
      <w:tc>
        <w:tcPr>
          <w:tcW w:w="0" w:type="pct"/>
        </w:tcPr>
        <w:p w14:paraId="2B693AA4" w14:textId="77777777" w:rsidR="00137D90" w:rsidRDefault="00137D90" w:rsidP="009C1E9A">
          <w:pPr>
            <w:pStyle w:val="Footer"/>
            <w:tabs>
              <w:tab w:val="clear" w:pos="8640"/>
              <w:tab w:val="right" w:pos="9360"/>
            </w:tabs>
          </w:pPr>
        </w:p>
      </w:tc>
      <w:tc>
        <w:tcPr>
          <w:tcW w:w="2395" w:type="pct"/>
        </w:tcPr>
        <w:p w14:paraId="7EFB6C3B" w14:textId="77777777" w:rsidR="00137D90" w:rsidRDefault="00137D90" w:rsidP="009C1E9A">
          <w:pPr>
            <w:pStyle w:val="Footer"/>
            <w:tabs>
              <w:tab w:val="clear" w:pos="8640"/>
              <w:tab w:val="right" w:pos="9360"/>
            </w:tabs>
          </w:pPr>
        </w:p>
        <w:p w14:paraId="0E741EA7" w14:textId="77777777" w:rsidR="001A4310" w:rsidRDefault="001A4310" w:rsidP="009C1E9A">
          <w:pPr>
            <w:pStyle w:val="Footer"/>
            <w:tabs>
              <w:tab w:val="clear" w:pos="8640"/>
              <w:tab w:val="right" w:pos="9360"/>
            </w:tabs>
          </w:pPr>
        </w:p>
        <w:p w14:paraId="17C8B307" w14:textId="77777777" w:rsidR="00137D90" w:rsidRDefault="00137D90" w:rsidP="009C1E9A">
          <w:pPr>
            <w:pStyle w:val="Footer"/>
            <w:tabs>
              <w:tab w:val="clear" w:pos="8640"/>
              <w:tab w:val="right" w:pos="9360"/>
            </w:tabs>
          </w:pPr>
        </w:p>
      </w:tc>
      <w:tc>
        <w:tcPr>
          <w:tcW w:w="2453" w:type="pct"/>
        </w:tcPr>
        <w:p w14:paraId="0988DC87" w14:textId="77777777" w:rsidR="00137D90" w:rsidRDefault="00137D90" w:rsidP="009C1E9A">
          <w:pPr>
            <w:pStyle w:val="Footer"/>
            <w:tabs>
              <w:tab w:val="clear" w:pos="8640"/>
              <w:tab w:val="right" w:pos="9360"/>
            </w:tabs>
            <w:jc w:val="right"/>
          </w:pPr>
        </w:p>
      </w:tc>
    </w:tr>
    <w:tr w:rsidR="00595C03" w14:paraId="582EE2C8" w14:textId="77777777" w:rsidTr="009C1E9A">
      <w:trPr>
        <w:cantSplit/>
      </w:trPr>
      <w:tc>
        <w:tcPr>
          <w:tcW w:w="0" w:type="pct"/>
        </w:tcPr>
        <w:p w14:paraId="03D3376D" w14:textId="77777777" w:rsidR="00EC379B" w:rsidRDefault="00EC379B" w:rsidP="009C1E9A">
          <w:pPr>
            <w:pStyle w:val="Footer"/>
            <w:tabs>
              <w:tab w:val="clear" w:pos="8640"/>
              <w:tab w:val="right" w:pos="9360"/>
            </w:tabs>
          </w:pPr>
        </w:p>
      </w:tc>
      <w:tc>
        <w:tcPr>
          <w:tcW w:w="2395" w:type="pct"/>
        </w:tcPr>
        <w:p w14:paraId="5901F0E4" w14:textId="28A636F4" w:rsidR="00EC379B" w:rsidRPr="009C1E9A" w:rsidRDefault="00D25E28" w:rsidP="009C1E9A">
          <w:pPr>
            <w:pStyle w:val="Footer"/>
            <w:tabs>
              <w:tab w:val="clear" w:pos="8640"/>
              <w:tab w:val="right" w:pos="9360"/>
            </w:tabs>
            <w:rPr>
              <w:rFonts w:ascii="Shruti" w:hAnsi="Shruti"/>
              <w:sz w:val="22"/>
            </w:rPr>
          </w:pPr>
          <w:r>
            <w:rPr>
              <w:rFonts w:ascii="Shruti" w:hAnsi="Shruti"/>
              <w:sz w:val="22"/>
            </w:rPr>
            <w:t>89R 31580-D</w:t>
          </w:r>
        </w:p>
      </w:tc>
      <w:tc>
        <w:tcPr>
          <w:tcW w:w="2453" w:type="pct"/>
        </w:tcPr>
        <w:p w14:paraId="3A833FAF" w14:textId="661AF2B0" w:rsidR="00EC379B" w:rsidRDefault="00D25E28" w:rsidP="009C1E9A">
          <w:pPr>
            <w:pStyle w:val="Footer"/>
            <w:tabs>
              <w:tab w:val="clear" w:pos="8640"/>
              <w:tab w:val="right" w:pos="9360"/>
            </w:tabs>
            <w:jc w:val="right"/>
          </w:pPr>
          <w:r>
            <w:fldChar w:fldCharType="begin"/>
          </w:r>
          <w:r>
            <w:instrText xml:space="preserve"> DOCPROPERTY  OTID  \* MERGEFORMAT </w:instrText>
          </w:r>
          <w:r>
            <w:fldChar w:fldCharType="separate"/>
          </w:r>
          <w:r w:rsidR="00AE52EF">
            <w:t>25.139.677</w:t>
          </w:r>
          <w:r>
            <w:fldChar w:fldCharType="end"/>
          </w:r>
        </w:p>
      </w:tc>
    </w:tr>
    <w:tr w:rsidR="00595C03" w14:paraId="4B2F73B9" w14:textId="77777777" w:rsidTr="009C1E9A">
      <w:trPr>
        <w:cantSplit/>
      </w:trPr>
      <w:tc>
        <w:tcPr>
          <w:tcW w:w="0" w:type="pct"/>
        </w:tcPr>
        <w:p w14:paraId="19BEF411" w14:textId="77777777" w:rsidR="00EC379B" w:rsidRDefault="00EC379B" w:rsidP="009C1E9A">
          <w:pPr>
            <w:pStyle w:val="Footer"/>
            <w:tabs>
              <w:tab w:val="clear" w:pos="4320"/>
              <w:tab w:val="clear" w:pos="8640"/>
              <w:tab w:val="left" w:pos="2865"/>
            </w:tabs>
          </w:pPr>
        </w:p>
      </w:tc>
      <w:tc>
        <w:tcPr>
          <w:tcW w:w="2395" w:type="pct"/>
        </w:tcPr>
        <w:p w14:paraId="4DA5E8BF" w14:textId="652881DD" w:rsidR="00EC379B" w:rsidRPr="009C1E9A" w:rsidRDefault="00D25E28" w:rsidP="009C1E9A">
          <w:pPr>
            <w:pStyle w:val="Footer"/>
            <w:tabs>
              <w:tab w:val="clear" w:pos="4320"/>
              <w:tab w:val="clear" w:pos="8640"/>
              <w:tab w:val="left" w:pos="2865"/>
            </w:tabs>
            <w:rPr>
              <w:rFonts w:ascii="Shruti" w:hAnsi="Shruti"/>
              <w:sz w:val="22"/>
            </w:rPr>
          </w:pPr>
          <w:r>
            <w:rPr>
              <w:rFonts w:ascii="Shruti" w:hAnsi="Shruti"/>
              <w:sz w:val="22"/>
            </w:rPr>
            <w:t>Substitute Document Number: 89R 29047</w:t>
          </w:r>
        </w:p>
      </w:tc>
      <w:tc>
        <w:tcPr>
          <w:tcW w:w="2453" w:type="pct"/>
        </w:tcPr>
        <w:p w14:paraId="70DEC68B" w14:textId="77777777" w:rsidR="00EC379B" w:rsidRDefault="00EC379B" w:rsidP="006D504F">
          <w:pPr>
            <w:pStyle w:val="Footer"/>
            <w:rPr>
              <w:rStyle w:val="PageNumber"/>
            </w:rPr>
          </w:pPr>
        </w:p>
        <w:p w14:paraId="2D73B690" w14:textId="77777777" w:rsidR="00EC379B" w:rsidRDefault="00EC379B" w:rsidP="009C1E9A">
          <w:pPr>
            <w:pStyle w:val="Footer"/>
            <w:tabs>
              <w:tab w:val="clear" w:pos="8640"/>
              <w:tab w:val="right" w:pos="9360"/>
            </w:tabs>
            <w:jc w:val="right"/>
          </w:pPr>
        </w:p>
      </w:tc>
    </w:tr>
    <w:tr w:rsidR="00595C03" w14:paraId="18904E56" w14:textId="77777777" w:rsidTr="009C1E9A">
      <w:trPr>
        <w:cantSplit/>
        <w:trHeight w:val="323"/>
      </w:trPr>
      <w:tc>
        <w:tcPr>
          <w:tcW w:w="0" w:type="pct"/>
          <w:gridSpan w:val="3"/>
        </w:tcPr>
        <w:p w14:paraId="76776FFF" w14:textId="77777777" w:rsidR="00EC379B" w:rsidRDefault="00D25E2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108A23" w14:textId="77777777" w:rsidR="00EC379B" w:rsidRDefault="00EC379B" w:rsidP="009C1E9A">
          <w:pPr>
            <w:pStyle w:val="Footer"/>
            <w:tabs>
              <w:tab w:val="clear" w:pos="8640"/>
              <w:tab w:val="right" w:pos="9360"/>
            </w:tabs>
            <w:jc w:val="center"/>
          </w:pPr>
        </w:p>
      </w:tc>
    </w:tr>
  </w:tbl>
  <w:p w14:paraId="731A091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DBA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2B6D" w14:textId="77777777" w:rsidR="00D25E28" w:rsidRDefault="00D25E28">
      <w:r>
        <w:separator/>
      </w:r>
    </w:p>
  </w:footnote>
  <w:footnote w:type="continuationSeparator" w:id="0">
    <w:p w14:paraId="4942C078" w14:textId="77777777" w:rsidR="00D25E28" w:rsidRDefault="00D2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C1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745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05F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F62"/>
    <w:multiLevelType w:val="hybridMultilevel"/>
    <w:tmpl w:val="8374635E"/>
    <w:lvl w:ilvl="0" w:tplc="264A5ACE">
      <w:start w:val="1"/>
      <w:numFmt w:val="bullet"/>
      <w:lvlText w:val=""/>
      <w:lvlJc w:val="left"/>
      <w:pPr>
        <w:tabs>
          <w:tab w:val="num" w:pos="720"/>
        </w:tabs>
        <w:ind w:left="720" w:hanging="360"/>
      </w:pPr>
      <w:rPr>
        <w:rFonts w:ascii="Symbol" w:hAnsi="Symbol" w:hint="default"/>
      </w:rPr>
    </w:lvl>
    <w:lvl w:ilvl="1" w:tplc="1A266A08">
      <w:start w:val="1"/>
      <w:numFmt w:val="bullet"/>
      <w:lvlText w:val="o"/>
      <w:lvlJc w:val="left"/>
      <w:pPr>
        <w:ind w:left="1440" w:hanging="360"/>
      </w:pPr>
      <w:rPr>
        <w:rFonts w:ascii="Courier New" w:hAnsi="Courier New" w:cs="Courier New" w:hint="default"/>
      </w:rPr>
    </w:lvl>
    <w:lvl w:ilvl="2" w:tplc="31E44F9A" w:tentative="1">
      <w:start w:val="1"/>
      <w:numFmt w:val="bullet"/>
      <w:lvlText w:val=""/>
      <w:lvlJc w:val="left"/>
      <w:pPr>
        <w:ind w:left="2160" w:hanging="360"/>
      </w:pPr>
      <w:rPr>
        <w:rFonts w:ascii="Wingdings" w:hAnsi="Wingdings" w:hint="default"/>
      </w:rPr>
    </w:lvl>
    <w:lvl w:ilvl="3" w:tplc="421460DA" w:tentative="1">
      <w:start w:val="1"/>
      <w:numFmt w:val="bullet"/>
      <w:lvlText w:val=""/>
      <w:lvlJc w:val="left"/>
      <w:pPr>
        <w:ind w:left="2880" w:hanging="360"/>
      </w:pPr>
      <w:rPr>
        <w:rFonts w:ascii="Symbol" w:hAnsi="Symbol" w:hint="default"/>
      </w:rPr>
    </w:lvl>
    <w:lvl w:ilvl="4" w:tplc="2940C14E" w:tentative="1">
      <w:start w:val="1"/>
      <w:numFmt w:val="bullet"/>
      <w:lvlText w:val="o"/>
      <w:lvlJc w:val="left"/>
      <w:pPr>
        <w:ind w:left="3600" w:hanging="360"/>
      </w:pPr>
      <w:rPr>
        <w:rFonts w:ascii="Courier New" w:hAnsi="Courier New" w:cs="Courier New" w:hint="default"/>
      </w:rPr>
    </w:lvl>
    <w:lvl w:ilvl="5" w:tplc="8486A0E4" w:tentative="1">
      <w:start w:val="1"/>
      <w:numFmt w:val="bullet"/>
      <w:lvlText w:val=""/>
      <w:lvlJc w:val="left"/>
      <w:pPr>
        <w:ind w:left="4320" w:hanging="360"/>
      </w:pPr>
      <w:rPr>
        <w:rFonts w:ascii="Wingdings" w:hAnsi="Wingdings" w:hint="default"/>
      </w:rPr>
    </w:lvl>
    <w:lvl w:ilvl="6" w:tplc="D056281A" w:tentative="1">
      <w:start w:val="1"/>
      <w:numFmt w:val="bullet"/>
      <w:lvlText w:val=""/>
      <w:lvlJc w:val="left"/>
      <w:pPr>
        <w:ind w:left="5040" w:hanging="360"/>
      </w:pPr>
      <w:rPr>
        <w:rFonts w:ascii="Symbol" w:hAnsi="Symbol" w:hint="default"/>
      </w:rPr>
    </w:lvl>
    <w:lvl w:ilvl="7" w:tplc="DCB002CC" w:tentative="1">
      <w:start w:val="1"/>
      <w:numFmt w:val="bullet"/>
      <w:lvlText w:val="o"/>
      <w:lvlJc w:val="left"/>
      <w:pPr>
        <w:ind w:left="5760" w:hanging="360"/>
      </w:pPr>
      <w:rPr>
        <w:rFonts w:ascii="Courier New" w:hAnsi="Courier New" w:cs="Courier New" w:hint="default"/>
      </w:rPr>
    </w:lvl>
    <w:lvl w:ilvl="8" w:tplc="AB60FF8C" w:tentative="1">
      <w:start w:val="1"/>
      <w:numFmt w:val="bullet"/>
      <w:lvlText w:val=""/>
      <w:lvlJc w:val="left"/>
      <w:pPr>
        <w:ind w:left="6480" w:hanging="360"/>
      </w:pPr>
      <w:rPr>
        <w:rFonts w:ascii="Wingdings" w:hAnsi="Wingdings" w:hint="default"/>
      </w:rPr>
    </w:lvl>
  </w:abstractNum>
  <w:abstractNum w:abstractNumId="1" w15:restartNumberingAfterBreak="0">
    <w:nsid w:val="04527B92"/>
    <w:multiLevelType w:val="hybridMultilevel"/>
    <w:tmpl w:val="E9760E52"/>
    <w:lvl w:ilvl="0" w:tplc="CFBE34DC">
      <w:start w:val="1"/>
      <w:numFmt w:val="bullet"/>
      <w:lvlText w:val=""/>
      <w:lvlJc w:val="left"/>
      <w:pPr>
        <w:tabs>
          <w:tab w:val="num" w:pos="720"/>
        </w:tabs>
        <w:ind w:left="720" w:hanging="360"/>
      </w:pPr>
      <w:rPr>
        <w:rFonts w:ascii="Symbol" w:hAnsi="Symbol" w:hint="default"/>
      </w:rPr>
    </w:lvl>
    <w:lvl w:ilvl="1" w:tplc="245E7FAE" w:tentative="1">
      <w:start w:val="1"/>
      <w:numFmt w:val="bullet"/>
      <w:lvlText w:val="o"/>
      <w:lvlJc w:val="left"/>
      <w:pPr>
        <w:ind w:left="1440" w:hanging="360"/>
      </w:pPr>
      <w:rPr>
        <w:rFonts w:ascii="Courier New" w:hAnsi="Courier New" w:cs="Courier New" w:hint="default"/>
      </w:rPr>
    </w:lvl>
    <w:lvl w:ilvl="2" w:tplc="D73A8A9C" w:tentative="1">
      <w:start w:val="1"/>
      <w:numFmt w:val="bullet"/>
      <w:lvlText w:val=""/>
      <w:lvlJc w:val="left"/>
      <w:pPr>
        <w:ind w:left="2160" w:hanging="360"/>
      </w:pPr>
      <w:rPr>
        <w:rFonts w:ascii="Wingdings" w:hAnsi="Wingdings" w:hint="default"/>
      </w:rPr>
    </w:lvl>
    <w:lvl w:ilvl="3" w:tplc="12BC2A52" w:tentative="1">
      <w:start w:val="1"/>
      <w:numFmt w:val="bullet"/>
      <w:lvlText w:val=""/>
      <w:lvlJc w:val="left"/>
      <w:pPr>
        <w:ind w:left="2880" w:hanging="360"/>
      </w:pPr>
      <w:rPr>
        <w:rFonts w:ascii="Symbol" w:hAnsi="Symbol" w:hint="default"/>
      </w:rPr>
    </w:lvl>
    <w:lvl w:ilvl="4" w:tplc="05B0B1BE" w:tentative="1">
      <w:start w:val="1"/>
      <w:numFmt w:val="bullet"/>
      <w:lvlText w:val="o"/>
      <w:lvlJc w:val="left"/>
      <w:pPr>
        <w:ind w:left="3600" w:hanging="360"/>
      </w:pPr>
      <w:rPr>
        <w:rFonts w:ascii="Courier New" w:hAnsi="Courier New" w:cs="Courier New" w:hint="default"/>
      </w:rPr>
    </w:lvl>
    <w:lvl w:ilvl="5" w:tplc="4874FDE2" w:tentative="1">
      <w:start w:val="1"/>
      <w:numFmt w:val="bullet"/>
      <w:lvlText w:val=""/>
      <w:lvlJc w:val="left"/>
      <w:pPr>
        <w:ind w:left="4320" w:hanging="360"/>
      </w:pPr>
      <w:rPr>
        <w:rFonts w:ascii="Wingdings" w:hAnsi="Wingdings" w:hint="default"/>
      </w:rPr>
    </w:lvl>
    <w:lvl w:ilvl="6" w:tplc="64241140" w:tentative="1">
      <w:start w:val="1"/>
      <w:numFmt w:val="bullet"/>
      <w:lvlText w:val=""/>
      <w:lvlJc w:val="left"/>
      <w:pPr>
        <w:ind w:left="5040" w:hanging="360"/>
      </w:pPr>
      <w:rPr>
        <w:rFonts w:ascii="Symbol" w:hAnsi="Symbol" w:hint="default"/>
      </w:rPr>
    </w:lvl>
    <w:lvl w:ilvl="7" w:tplc="479C9FDA" w:tentative="1">
      <w:start w:val="1"/>
      <w:numFmt w:val="bullet"/>
      <w:lvlText w:val="o"/>
      <w:lvlJc w:val="left"/>
      <w:pPr>
        <w:ind w:left="5760" w:hanging="360"/>
      </w:pPr>
      <w:rPr>
        <w:rFonts w:ascii="Courier New" w:hAnsi="Courier New" w:cs="Courier New" w:hint="default"/>
      </w:rPr>
    </w:lvl>
    <w:lvl w:ilvl="8" w:tplc="15585876" w:tentative="1">
      <w:start w:val="1"/>
      <w:numFmt w:val="bullet"/>
      <w:lvlText w:val=""/>
      <w:lvlJc w:val="left"/>
      <w:pPr>
        <w:ind w:left="6480" w:hanging="360"/>
      </w:pPr>
      <w:rPr>
        <w:rFonts w:ascii="Wingdings" w:hAnsi="Wingdings" w:hint="default"/>
      </w:rPr>
    </w:lvl>
  </w:abstractNum>
  <w:abstractNum w:abstractNumId="2" w15:restartNumberingAfterBreak="0">
    <w:nsid w:val="080E2D1E"/>
    <w:multiLevelType w:val="hybridMultilevel"/>
    <w:tmpl w:val="3EF49FCE"/>
    <w:lvl w:ilvl="0" w:tplc="387A0AB4">
      <w:start w:val="1"/>
      <w:numFmt w:val="bullet"/>
      <w:lvlText w:val=""/>
      <w:lvlJc w:val="left"/>
      <w:pPr>
        <w:tabs>
          <w:tab w:val="num" w:pos="720"/>
        </w:tabs>
        <w:ind w:left="720" w:hanging="360"/>
      </w:pPr>
      <w:rPr>
        <w:rFonts w:ascii="Symbol" w:hAnsi="Symbol" w:hint="default"/>
      </w:rPr>
    </w:lvl>
    <w:lvl w:ilvl="1" w:tplc="20407F08" w:tentative="1">
      <w:start w:val="1"/>
      <w:numFmt w:val="bullet"/>
      <w:lvlText w:val="o"/>
      <w:lvlJc w:val="left"/>
      <w:pPr>
        <w:ind w:left="1440" w:hanging="360"/>
      </w:pPr>
      <w:rPr>
        <w:rFonts w:ascii="Courier New" w:hAnsi="Courier New" w:cs="Courier New" w:hint="default"/>
      </w:rPr>
    </w:lvl>
    <w:lvl w:ilvl="2" w:tplc="CBC6275A" w:tentative="1">
      <w:start w:val="1"/>
      <w:numFmt w:val="bullet"/>
      <w:lvlText w:val=""/>
      <w:lvlJc w:val="left"/>
      <w:pPr>
        <w:ind w:left="2160" w:hanging="360"/>
      </w:pPr>
      <w:rPr>
        <w:rFonts w:ascii="Wingdings" w:hAnsi="Wingdings" w:hint="default"/>
      </w:rPr>
    </w:lvl>
    <w:lvl w:ilvl="3" w:tplc="3570814A" w:tentative="1">
      <w:start w:val="1"/>
      <w:numFmt w:val="bullet"/>
      <w:lvlText w:val=""/>
      <w:lvlJc w:val="left"/>
      <w:pPr>
        <w:ind w:left="2880" w:hanging="360"/>
      </w:pPr>
      <w:rPr>
        <w:rFonts w:ascii="Symbol" w:hAnsi="Symbol" w:hint="default"/>
      </w:rPr>
    </w:lvl>
    <w:lvl w:ilvl="4" w:tplc="67464412" w:tentative="1">
      <w:start w:val="1"/>
      <w:numFmt w:val="bullet"/>
      <w:lvlText w:val="o"/>
      <w:lvlJc w:val="left"/>
      <w:pPr>
        <w:ind w:left="3600" w:hanging="360"/>
      </w:pPr>
      <w:rPr>
        <w:rFonts w:ascii="Courier New" w:hAnsi="Courier New" w:cs="Courier New" w:hint="default"/>
      </w:rPr>
    </w:lvl>
    <w:lvl w:ilvl="5" w:tplc="E64A3E9A" w:tentative="1">
      <w:start w:val="1"/>
      <w:numFmt w:val="bullet"/>
      <w:lvlText w:val=""/>
      <w:lvlJc w:val="left"/>
      <w:pPr>
        <w:ind w:left="4320" w:hanging="360"/>
      </w:pPr>
      <w:rPr>
        <w:rFonts w:ascii="Wingdings" w:hAnsi="Wingdings" w:hint="default"/>
      </w:rPr>
    </w:lvl>
    <w:lvl w:ilvl="6" w:tplc="0C94ECC0" w:tentative="1">
      <w:start w:val="1"/>
      <w:numFmt w:val="bullet"/>
      <w:lvlText w:val=""/>
      <w:lvlJc w:val="left"/>
      <w:pPr>
        <w:ind w:left="5040" w:hanging="360"/>
      </w:pPr>
      <w:rPr>
        <w:rFonts w:ascii="Symbol" w:hAnsi="Symbol" w:hint="default"/>
      </w:rPr>
    </w:lvl>
    <w:lvl w:ilvl="7" w:tplc="31F02C06" w:tentative="1">
      <w:start w:val="1"/>
      <w:numFmt w:val="bullet"/>
      <w:lvlText w:val="o"/>
      <w:lvlJc w:val="left"/>
      <w:pPr>
        <w:ind w:left="5760" w:hanging="360"/>
      </w:pPr>
      <w:rPr>
        <w:rFonts w:ascii="Courier New" w:hAnsi="Courier New" w:cs="Courier New" w:hint="default"/>
      </w:rPr>
    </w:lvl>
    <w:lvl w:ilvl="8" w:tplc="6DDADA50" w:tentative="1">
      <w:start w:val="1"/>
      <w:numFmt w:val="bullet"/>
      <w:lvlText w:val=""/>
      <w:lvlJc w:val="left"/>
      <w:pPr>
        <w:ind w:left="6480" w:hanging="360"/>
      </w:pPr>
      <w:rPr>
        <w:rFonts w:ascii="Wingdings" w:hAnsi="Wingdings" w:hint="default"/>
      </w:rPr>
    </w:lvl>
  </w:abstractNum>
  <w:abstractNum w:abstractNumId="3" w15:restartNumberingAfterBreak="0">
    <w:nsid w:val="1F246864"/>
    <w:multiLevelType w:val="hybridMultilevel"/>
    <w:tmpl w:val="13BA442C"/>
    <w:lvl w:ilvl="0" w:tplc="FECEB508">
      <w:start w:val="1"/>
      <w:numFmt w:val="bullet"/>
      <w:lvlText w:val=""/>
      <w:lvlJc w:val="left"/>
      <w:pPr>
        <w:tabs>
          <w:tab w:val="num" w:pos="720"/>
        </w:tabs>
        <w:ind w:left="720" w:hanging="360"/>
      </w:pPr>
      <w:rPr>
        <w:rFonts w:ascii="Symbol" w:hAnsi="Symbol" w:hint="default"/>
      </w:rPr>
    </w:lvl>
    <w:lvl w:ilvl="1" w:tplc="758E53DE" w:tentative="1">
      <w:start w:val="1"/>
      <w:numFmt w:val="bullet"/>
      <w:lvlText w:val="o"/>
      <w:lvlJc w:val="left"/>
      <w:pPr>
        <w:ind w:left="1440" w:hanging="360"/>
      </w:pPr>
      <w:rPr>
        <w:rFonts w:ascii="Courier New" w:hAnsi="Courier New" w:cs="Courier New" w:hint="default"/>
      </w:rPr>
    </w:lvl>
    <w:lvl w:ilvl="2" w:tplc="E0CCB1BA" w:tentative="1">
      <w:start w:val="1"/>
      <w:numFmt w:val="bullet"/>
      <w:lvlText w:val=""/>
      <w:lvlJc w:val="left"/>
      <w:pPr>
        <w:ind w:left="2160" w:hanging="360"/>
      </w:pPr>
      <w:rPr>
        <w:rFonts w:ascii="Wingdings" w:hAnsi="Wingdings" w:hint="default"/>
      </w:rPr>
    </w:lvl>
    <w:lvl w:ilvl="3" w:tplc="AE66F3A8" w:tentative="1">
      <w:start w:val="1"/>
      <w:numFmt w:val="bullet"/>
      <w:lvlText w:val=""/>
      <w:lvlJc w:val="left"/>
      <w:pPr>
        <w:ind w:left="2880" w:hanging="360"/>
      </w:pPr>
      <w:rPr>
        <w:rFonts w:ascii="Symbol" w:hAnsi="Symbol" w:hint="default"/>
      </w:rPr>
    </w:lvl>
    <w:lvl w:ilvl="4" w:tplc="01265D4A" w:tentative="1">
      <w:start w:val="1"/>
      <w:numFmt w:val="bullet"/>
      <w:lvlText w:val="o"/>
      <w:lvlJc w:val="left"/>
      <w:pPr>
        <w:ind w:left="3600" w:hanging="360"/>
      </w:pPr>
      <w:rPr>
        <w:rFonts w:ascii="Courier New" w:hAnsi="Courier New" w:cs="Courier New" w:hint="default"/>
      </w:rPr>
    </w:lvl>
    <w:lvl w:ilvl="5" w:tplc="4A0E732A" w:tentative="1">
      <w:start w:val="1"/>
      <w:numFmt w:val="bullet"/>
      <w:lvlText w:val=""/>
      <w:lvlJc w:val="left"/>
      <w:pPr>
        <w:ind w:left="4320" w:hanging="360"/>
      </w:pPr>
      <w:rPr>
        <w:rFonts w:ascii="Wingdings" w:hAnsi="Wingdings" w:hint="default"/>
      </w:rPr>
    </w:lvl>
    <w:lvl w:ilvl="6" w:tplc="AB4C38C4" w:tentative="1">
      <w:start w:val="1"/>
      <w:numFmt w:val="bullet"/>
      <w:lvlText w:val=""/>
      <w:lvlJc w:val="left"/>
      <w:pPr>
        <w:ind w:left="5040" w:hanging="360"/>
      </w:pPr>
      <w:rPr>
        <w:rFonts w:ascii="Symbol" w:hAnsi="Symbol" w:hint="default"/>
      </w:rPr>
    </w:lvl>
    <w:lvl w:ilvl="7" w:tplc="0D22194C" w:tentative="1">
      <w:start w:val="1"/>
      <w:numFmt w:val="bullet"/>
      <w:lvlText w:val="o"/>
      <w:lvlJc w:val="left"/>
      <w:pPr>
        <w:ind w:left="5760" w:hanging="360"/>
      </w:pPr>
      <w:rPr>
        <w:rFonts w:ascii="Courier New" w:hAnsi="Courier New" w:cs="Courier New" w:hint="default"/>
      </w:rPr>
    </w:lvl>
    <w:lvl w:ilvl="8" w:tplc="E8BE4488" w:tentative="1">
      <w:start w:val="1"/>
      <w:numFmt w:val="bullet"/>
      <w:lvlText w:val=""/>
      <w:lvlJc w:val="left"/>
      <w:pPr>
        <w:ind w:left="6480" w:hanging="360"/>
      </w:pPr>
      <w:rPr>
        <w:rFonts w:ascii="Wingdings" w:hAnsi="Wingdings" w:hint="default"/>
      </w:rPr>
    </w:lvl>
  </w:abstractNum>
  <w:abstractNum w:abstractNumId="4" w15:restartNumberingAfterBreak="0">
    <w:nsid w:val="364E04FB"/>
    <w:multiLevelType w:val="hybridMultilevel"/>
    <w:tmpl w:val="94BA529A"/>
    <w:lvl w:ilvl="0" w:tplc="4C54B610">
      <w:start w:val="1"/>
      <w:numFmt w:val="bullet"/>
      <w:lvlText w:val=""/>
      <w:lvlJc w:val="left"/>
      <w:pPr>
        <w:tabs>
          <w:tab w:val="num" w:pos="720"/>
        </w:tabs>
        <w:ind w:left="720" w:hanging="360"/>
      </w:pPr>
      <w:rPr>
        <w:rFonts w:ascii="Symbol" w:hAnsi="Symbol" w:hint="default"/>
      </w:rPr>
    </w:lvl>
    <w:lvl w:ilvl="1" w:tplc="1A601696">
      <w:start w:val="1"/>
      <w:numFmt w:val="bullet"/>
      <w:lvlText w:val="o"/>
      <w:lvlJc w:val="left"/>
      <w:pPr>
        <w:ind w:left="1440" w:hanging="360"/>
      </w:pPr>
      <w:rPr>
        <w:rFonts w:ascii="Courier New" w:hAnsi="Courier New" w:cs="Courier New" w:hint="default"/>
      </w:rPr>
    </w:lvl>
    <w:lvl w:ilvl="2" w:tplc="DD94F7CC" w:tentative="1">
      <w:start w:val="1"/>
      <w:numFmt w:val="bullet"/>
      <w:lvlText w:val=""/>
      <w:lvlJc w:val="left"/>
      <w:pPr>
        <w:ind w:left="2160" w:hanging="360"/>
      </w:pPr>
      <w:rPr>
        <w:rFonts w:ascii="Wingdings" w:hAnsi="Wingdings" w:hint="default"/>
      </w:rPr>
    </w:lvl>
    <w:lvl w:ilvl="3" w:tplc="030C506A" w:tentative="1">
      <w:start w:val="1"/>
      <w:numFmt w:val="bullet"/>
      <w:lvlText w:val=""/>
      <w:lvlJc w:val="left"/>
      <w:pPr>
        <w:ind w:left="2880" w:hanging="360"/>
      </w:pPr>
      <w:rPr>
        <w:rFonts w:ascii="Symbol" w:hAnsi="Symbol" w:hint="default"/>
      </w:rPr>
    </w:lvl>
    <w:lvl w:ilvl="4" w:tplc="487C52A2" w:tentative="1">
      <w:start w:val="1"/>
      <w:numFmt w:val="bullet"/>
      <w:lvlText w:val="o"/>
      <w:lvlJc w:val="left"/>
      <w:pPr>
        <w:ind w:left="3600" w:hanging="360"/>
      </w:pPr>
      <w:rPr>
        <w:rFonts w:ascii="Courier New" w:hAnsi="Courier New" w:cs="Courier New" w:hint="default"/>
      </w:rPr>
    </w:lvl>
    <w:lvl w:ilvl="5" w:tplc="9956E49A" w:tentative="1">
      <w:start w:val="1"/>
      <w:numFmt w:val="bullet"/>
      <w:lvlText w:val=""/>
      <w:lvlJc w:val="left"/>
      <w:pPr>
        <w:ind w:left="4320" w:hanging="360"/>
      </w:pPr>
      <w:rPr>
        <w:rFonts w:ascii="Wingdings" w:hAnsi="Wingdings" w:hint="default"/>
      </w:rPr>
    </w:lvl>
    <w:lvl w:ilvl="6" w:tplc="7ACEA468" w:tentative="1">
      <w:start w:val="1"/>
      <w:numFmt w:val="bullet"/>
      <w:lvlText w:val=""/>
      <w:lvlJc w:val="left"/>
      <w:pPr>
        <w:ind w:left="5040" w:hanging="360"/>
      </w:pPr>
      <w:rPr>
        <w:rFonts w:ascii="Symbol" w:hAnsi="Symbol" w:hint="default"/>
      </w:rPr>
    </w:lvl>
    <w:lvl w:ilvl="7" w:tplc="DBA28E32" w:tentative="1">
      <w:start w:val="1"/>
      <w:numFmt w:val="bullet"/>
      <w:lvlText w:val="o"/>
      <w:lvlJc w:val="left"/>
      <w:pPr>
        <w:ind w:left="5760" w:hanging="360"/>
      </w:pPr>
      <w:rPr>
        <w:rFonts w:ascii="Courier New" w:hAnsi="Courier New" w:cs="Courier New" w:hint="default"/>
      </w:rPr>
    </w:lvl>
    <w:lvl w:ilvl="8" w:tplc="C09007C4" w:tentative="1">
      <w:start w:val="1"/>
      <w:numFmt w:val="bullet"/>
      <w:lvlText w:val=""/>
      <w:lvlJc w:val="left"/>
      <w:pPr>
        <w:ind w:left="6480" w:hanging="360"/>
      </w:pPr>
      <w:rPr>
        <w:rFonts w:ascii="Wingdings" w:hAnsi="Wingdings" w:hint="default"/>
      </w:rPr>
    </w:lvl>
  </w:abstractNum>
  <w:abstractNum w:abstractNumId="5" w15:restartNumberingAfterBreak="0">
    <w:nsid w:val="47EF561A"/>
    <w:multiLevelType w:val="hybridMultilevel"/>
    <w:tmpl w:val="E8C4304C"/>
    <w:lvl w:ilvl="0" w:tplc="DFC2DB42">
      <w:start w:val="1"/>
      <w:numFmt w:val="bullet"/>
      <w:lvlText w:val=""/>
      <w:lvlJc w:val="left"/>
      <w:pPr>
        <w:tabs>
          <w:tab w:val="num" w:pos="720"/>
        </w:tabs>
        <w:ind w:left="720" w:hanging="360"/>
      </w:pPr>
      <w:rPr>
        <w:rFonts w:ascii="Symbol" w:hAnsi="Symbol" w:hint="default"/>
      </w:rPr>
    </w:lvl>
    <w:lvl w:ilvl="1" w:tplc="0D2823E4" w:tentative="1">
      <w:start w:val="1"/>
      <w:numFmt w:val="bullet"/>
      <w:lvlText w:val="o"/>
      <w:lvlJc w:val="left"/>
      <w:pPr>
        <w:ind w:left="1440" w:hanging="360"/>
      </w:pPr>
      <w:rPr>
        <w:rFonts w:ascii="Courier New" w:hAnsi="Courier New" w:cs="Courier New" w:hint="default"/>
      </w:rPr>
    </w:lvl>
    <w:lvl w:ilvl="2" w:tplc="360CBEFA" w:tentative="1">
      <w:start w:val="1"/>
      <w:numFmt w:val="bullet"/>
      <w:lvlText w:val=""/>
      <w:lvlJc w:val="left"/>
      <w:pPr>
        <w:ind w:left="2160" w:hanging="360"/>
      </w:pPr>
      <w:rPr>
        <w:rFonts w:ascii="Wingdings" w:hAnsi="Wingdings" w:hint="default"/>
      </w:rPr>
    </w:lvl>
    <w:lvl w:ilvl="3" w:tplc="19AC5002" w:tentative="1">
      <w:start w:val="1"/>
      <w:numFmt w:val="bullet"/>
      <w:lvlText w:val=""/>
      <w:lvlJc w:val="left"/>
      <w:pPr>
        <w:ind w:left="2880" w:hanging="360"/>
      </w:pPr>
      <w:rPr>
        <w:rFonts w:ascii="Symbol" w:hAnsi="Symbol" w:hint="default"/>
      </w:rPr>
    </w:lvl>
    <w:lvl w:ilvl="4" w:tplc="CFACA5D6" w:tentative="1">
      <w:start w:val="1"/>
      <w:numFmt w:val="bullet"/>
      <w:lvlText w:val="o"/>
      <w:lvlJc w:val="left"/>
      <w:pPr>
        <w:ind w:left="3600" w:hanging="360"/>
      </w:pPr>
      <w:rPr>
        <w:rFonts w:ascii="Courier New" w:hAnsi="Courier New" w:cs="Courier New" w:hint="default"/>
      </w:rPr>
    </w:lvl>
    <w:lvl w:ilvl="5" w:tplc="ADECBE74" w:tentative="1">
      <w:start w:val="1"/>
      <w:numFmt w:val="bullet"/>
      <w:lvlText w:val=""/>
      <w:lvlJc w:val="left"/>
      <w:pPr>
        <w:ind w:left="4320" w:hanging="360"/>
      </w:pPr>
      <w:rPr>
        <w:rFonts w:ascii="Wingdings" w:hAnsi="Wingdings" w:hint="default"/>
      </w:rPr>
    </w:lvl>
    <w:lvl w:ilvl="6" w:tplc="08921228" w:tentative="1">
      <w:start w:val="1"/>
      <w:numFmt w:val="bullet"/>
      <w:lvlText w:val=""/>
      <w:lvlJc w:val="left"/>
      <w:pPr>
        <w:ind w:left="5040" w:hanging="360"/>
      </w:pPr>
      <w:rPr>
        <w:rFonts w:ascii="Symbol" w:hAnsi="Symbol" w:hint="default"/>
      </w:rPr>
    </w:lvl>
    <w:lvl w:ilvl="7" w:tplc="E60CD5C6" w:tentative="1">
      <w:start w:val="1"/>
      <w:numFmt w:val="bullet"/>
      <w:lvlText w:val="o"/>
      <w:lvlJc w:val="left"/>
      <w:pPr>
        <w:ind w:left="5760" w:hanging="360"/>
      </w:pPr>
      <w:rPr>
        <w:rFonts w:ascii="Courier New" w:hAnsi="Courier New" w:cs="Courier New" w:hint="default"/>
      </w:rPr>
    </w:lvl>
    <w:lvl w:ilvl="8" w:tplc="A5648C86" w:tentative="1">
      <w:start w:val="1"/>
      <w:numFmt w:val="bullet"/>
      <w:lvlText w:val=""/>
      <w:lvlJc w:val="left"/>
      <w:pPr>
        <w:ind w:left="6480" w:hanging="360"/>
      </w:pPr>
      <w:rPr>
        <w:rFonts w:ascii="Wingdings" w:hAnsi="Wingdings" w:hint="default"/>
      </w:rPr>
    </w:lvl>
  </w:abstractNum>
  <w:abstractNum w:abstractNumId="6" w15:restartNumberingAfterBreak="0">
    <w:nsid w:val="51A32A46"/>
    <w:multiLevelType w:val="hybridMultilevel"/>
    <w:tmpl w:val="ECF4F4D6"/>
    <w:lvl w:ilvl="0" w:tplc="82268D48">
      <w:start w:val="1"/>
      <w:numFmt w:val="bullet"/>
      <w:lvlText w:val=""/>
      <w:lvlJc w:val="left"/>
      <w:pPr>
        <w:tabs>
          <w:tab w:val="num" w:pos="720"/>
        </w:tabs>
        <w:ind w:left="720" w:hanging="360"/>
      </w:pPr>
      <w:rPr>
        <w:rFonts w:ascii="Symbol" w:hAnsi="Symbol" w:hint="default"/>
      </w:rPr>
    </w:lvl>
    <w:lvl w:ilvl="1" w:tplc="9A625250" w:tentative="1">
      <w:start w:val="1"/>
      <w:numFmt w:val="bullet"/>
      <w:lvlText w:val="o"/>
      <w:lvlJc w:val="left"/>
      <w:pPr>
        <w:ind w:left="1440" w:hanging="360"/>
      </w:pPr>
      <w:rPr>
        <w:rFonts w:ascii="Courier New" w:hAnsi="Courier New" w:cs="Courier New" w:hint="default"/>
      </w:rPr>
    </w:lvl>
    <w:lvl w:ilvl="2" w:tplc="55D669DE" w:tentative="1">
      <w:start w:val="1"/>
      <w:numFmt w:val="bullet"/>
      <w:lvlText w:val=""/>
      <w:lvlJc w:val="left"/>
      <w:pPr>
        <w:ind w:left="2160" w:hanging="360"/>
      </w:pPr>
      <w:rPr>
        <w:rFonts w:ascii="Wingdings" w:hAnsi="Wingdings" w:hint="default"/>
      </w:rPr>
    </w:lvl>
    <w:lvl w:ilvl="3" w:tplc="D79C3024" w:tentative="1">
      <w:start w:val="1"/>
      <w:numFmt w:val="bullet"/>
      <w:lvlText w:val=""/>
      <w:lvlJc w:val="left"/>
      <w:pPr>
        <w:ind w:left="2880" w:hanging="360"/>
      </w:pPr>
      <w:rPr>
        <w:rFonts w:ascii="Symbol" w:hAnsi="Symbol" w:hint="default"/>
      </w:rPr>
    </w:lvl>
    <w:lvl w:ilvl="4" w:tplc="208E502A" w:tentative="1">
      <w:start w:val="1"/>
      <w:numFmt w:val="bullet"/>
      <w:lvlText w:val="o"/>
      <w:lvlJc w:val="left"/>
      <w:pPr>
        <w:ind w:left="3600" w:hanging="360"/>
      </w:pPr>
      <w:rPr>
        <w:rFonts w:ascii="Courier New" w:hAnsi="Courier New" w:cs="Courier New" w:hint="default"/>
      </w:rPr>
    </w:lvl>
    <w:lvl w:ilvl="5" w:tplc="E9E47FF2" w:tentative="1">
      <w:start w:val="1"/>
      <w:numFmt w:val="bullet"/>
      <w:lvlText w:val=""/>
      <w:lvlJc w:val="left"/>
      <w:pPr>
        <w:ind w:left="4320" w:hanging="360"/>
      </w:pPr>
      <w:rPr>
        <w:rFonts w:ascii="Wingdings" w:hAnsi="Wingdings" w:hint="default"/>
      </w:rPr>
    </w:lvl>
    <w:lvl w:ilvl="6" w:tplc="CE0AEEB4" w:tentative="1">
      <w:start w:val="1"/>
      <w:numFmt w:val="bullet"/>
      <w:lvlText w:val=""/>
      <w:lvlJc w:val="left"/>
      <w:pPr>
        <w:ind w:left="5040" w:hanging="360"/>
      </w:pPr>
      <w:rPr>
        <w:rFonts w:ascii="Symbol" w:hAnsi="Symbol" w:hint="default"/>
      </w:rPr>
    </w:lvl>
    <w:lvl w:ilvl="7" w:tplc="069AA97E" w:tentative="1">
      <w:start w:val="1"/>
      <w:numFmt w:val="bullet"/>
      <w:lvlText w:val="o"/>
      <w:lvlJc w:val="left"/>
      <w:pPr>
        <w:ind w:left="5760" w:hanging="360"/>
      </w:pPr>
      <w:rPr>
        <w:rFonts w:ascii="Courier New" w:hAnsi="Courier New" w:cs="Courier New" w:hint="default"/>
      </w:rPr>
    </w:lvl>
    <w:lvl w:ilvl="8" w:tplc="F9D6415C" w:tentative="1">
      <w:start w:val="1"/>
      <w:numFmt w:val="bullet"/>
      <w:lvlText w:val=""/>
      <w:lvlJc w:val="left"/>
      <w:pPr>
        <w:ind w:left="6480" w:hanging="360"/>
      </w:pPr>
      <w:rPr>
        <w:rFonts w:ascii="Wingdings" w:hAnsi="Wingdings" w:hint="default"/>
      </w:rPr>
    </w:lvl>
  </w:abstractNum>
  <w:abstractNum w:abstractNumId="7" w15:restartNumberingAfterBreak="0">
    <w:nsid w:val="574A052B"/>
    <w:multiLevelType w:val="hybridMultilevel"/>
    <w:tmpl w:val="CC8A5096"/>
    <w:lvl w:ilvl="0" w:tplc="226A93E4">
      <w:start w:val="1"/>
      <w:numFmt w:val="bullet"/>
      <w:lvlText w:val=""/>
      <w:lvlJc w:val="left"/>
      <w:pPr>
        <w:tabs>
          <w:tab w:val="num" w:pos="720"/>
        </w:tabs>
        <w:ind w:left="720" w:hanging="360"/>
      </w:pPr>
      <w:rPr>
        <w:rFonts w:ascii="Symbol" w:hAnsi="Symbol" w:hint="default"/>
      </w:rPr>
    </w:lvl>
    <w:lvl w:ilvl="1" w:tplc="05829E24">
      <w:start w:val="1"/>
      <w:numFmt w:val="bullet"/>
      <w:lvlText w:val="o"/>
      <w:lvlJc w:val="left"/>
      <w:pPr>
        <w:ind w:left="1440" w:hanging="360"/>
      </w:pPr>
      <w:rPr>
        <w:rFonts w:ascii="Courier New" w:hAnsi="Courier New" w:cs="Courier New" w:hint="default"/>
      </w:rPr>
    </w:lvl>
    <w:lvl w:ilvl="2" w:tplc="364677E6" w:tentative="1">
      <w:start w:val="1"/>
      <w:numFmt w:val="bullet"/>
      <w:lvlText w:val=""/>
      <w:lvlJc w:val="left"/>
      <w:pPr>
        <w:ind w:left="2160" w:hanging="360"/>
      </w:pPr>
      <w:rPr>
        <w:rFonts w:ascii="Wingdings" w:hAnsi="Wingdings" w:hint="default"/>
      </w:rPr>
    </w:lvl>
    <w:lvl w:ilvl="3" w:tplc="204ED2FE" w:tentative="1">
      <w:start w:val="1"/>
      <w:numFmt w:val="bullet"/>
      <w:lvlText w:val=""/>
      <w:lvlJc w:val="left"/>
      <w:pPr>
        <w:ind w:left="2880" w:hanging="360"/>
      </w:pPr>
      <w:rPr>
        <w:rFonts w:ascii="Symbol" w:hAnsi="Symbol" w:hint="default"/>
      </w:rPr>
    </w:lvl>
    <w:lvl w:ilvl="4" w:tplc="F058F044" w:tentative="1">
      <w:start w:val="1"/>
      <w:numFmt w:val="bullet"/>
      <w:lvlText w:val="o"/>
      <w:lvlJc w:val="left"/>
      <w:pPr>
        <w:ind w:left="3600" w:hanging="360"/>
      </w:pPr>
      <w:rPr>
        <w:rFonts w:ascii="Courier New" w:hAnsi="Courier New" w:cs="Courier New" w:hint="default"/>
      </w:rPr>
    </w:lvl>
    <w:lvl w:ilvl="5" w:tplc="236069AC" w:tentative="1">
      <w:start w:val="1"/>
      <w:numFmt w:val="bullet"/>
      <w:lvlText w:val=""/>
      <w:lvlJc w:val="left"/>
      <w:pPr>
        <w:ind w:left="4320" w:hanging="360"/>
      </w:pPr>
      <w:rPr>
        <w:rFonts w:ascii="Wingdings" w:hAnsi="Wingdings" w:hint="default"/>
      </w:rPr>
    </w:lvl>
    <w:lvl w:ilvl="6" w:tplc="7DBE7756" w:tentative="1">
      <w:start w:val="1"/>
      <w:numFmt w:val="bullet"/>
      <w:lvlText w:val=""/>
      <w:lvlJc w:val="left"/>
      <w:pPr>
        <w:ind w:left="5040" w:hanging="360"/>
      </w:pPr>
      <w:rPr>
        <w:rFonts w:ascii="Symbol" w:hAnsi="Symbol" w:hint="default"/>
      </w:rPr>
    </w:lvl>
    <w:lvl w:ilvl="7" w:tplc="8E48D7D0" w:tentative="1">
      <w:start w:val="1"/>
      <w:numFmt w:val="bullet"/>
      <w:lvlText w:val="o"/>
      <w:lvlJc w:val="left"/>
      <w:pPr>
        <w:ind w:left="5760" w:hanging="360"/>
      </w:pPr>
      <w:rPr>
        <w:rFonts w:ascii="Courier New" w:hAnsi="Courier New" w:cs="Courier New" w:hint="default"/>
      </w:rPr>
    </w:lvl>
    <w:lvl w:ilvl="8" w:tplc="CBD2BA84" w:tentative="1">
      <w:start w:val="1"/>
      <w:numFmt w:val="bullet"/>
      <w:lvlText w:val=""/>
      <w:lvlJc w:val="left"/>
      <w:pPr>
        <w:ind w:left="6480" w:hanging="360"/>
      </w:pPr>
      <w:rPr>
        <w:rFonts w:ascii="Wingdings" w:hAnsi="Wingdings" w:hint="default"/>
      </w:rPr>
    </w:lvl>
  </w:abstractNum>
  <w:abstractNum w:abstractNumId="8" w15:restartNumberingAfterBreak="0">
    <w:nsid w:val="7F4A15B6"/>
    <w:multiLevelType w:val="hybridMultilevel"/>
    <w:tmpl w:val="41B63066"/>
    <w:lvl w:ilvl="0" w:tplc="192E424C">
      <w:start w:val="1"/>
      <w:numFmt w:val="bullet"/>
      <w:lvlText w:val=""/>
      <w:lvlJc w:val="left"/>
      <w:pPr>
        <w:tabs>
          <w:tab w:val="num" w:pos="720"/>
        </w:tabs>
        <w:ind w:left="720" w:hanging="360"/>
      </w:pPr>
      <w:rPr>
        <w:rFonts w:ascii="Symbol" w:hAnsi="Symbol" w:hint="default"/>
      </w:rPr>
    </w:lvl>
    <w:lvl w:ilvl="1" w:tplc="D4DA5D8C" w:tentative="1">
      <w:start w:val="1"/>
      <w:numFmt w:val="bullet"/>
      <w:lvlText w:val="o"/>
      <w:lvlJc w:val="left"/>
      <w:pPr>
        <w:ind w:left="1440" w:hanging="360"/>
      </w:pPr>
      <w:rPr>
        <w:rFonts w:ascii="Courier New" w:hAnsi="Courier New" w:cs="Courier New" w:hint="default"/>
      </w:rPr>
    </w:lvl>
    <w:lvl w:ilvl="2" w:tplc="380206B8" w:tentative="1">
      <w:start w:val="1"/>
      <w:numFmt w:val="bullet"/>
      <w:lvlText w:val=""/>
      <w:lvlJc w:val="left"/>
      <w:pPr>
        <w:ind w:left="2160" w:hanging="360"/>
      </w:pPr>
      <w:rPr>
        <w:rFonts w:ascii="Wingdings" w:hAnsi="Wingdings" w:hint="default"/>
      </w:rPr>
    </w:lvl>
    <w:lvl w:ilvl="3" w:tplc="3212270E" w:tentative="1">
      <w:start w:val="1"/>
      <w:numFmt w:val="bullet"/>
      <w:lvlText w:val=""/>
      <w:lvlJc w:val="left"/>
      <w:pPr>
        <w:ind w:left="2880" w:hanging="360"/>
      </w:pPr>
      <w:rPr>
        <w:rFonts w:ascii="Symbol" w:hAnsi="Symbol" w:hint="default"/>
      </w:rPr>
    </w:lvl>
    <w:lvl w:ilvl="4" w:tplc="A5FE824C" w:tentative="1">
      <w:start w:val="1"/>
      <w:numFmt w:val="bullet"/>
      <w:lvlText w:val="o"/>
      <w:lvlJc w:val="left"/>
      <w:pPr>
        <w:ind w:left="3600" w:hanging="360"/>
      </w:pPr>
      <w:rPr>
        <w:rFonts w:ascii="Courier New" w:hAnsi="Courier New" w:cs="Courier New" w:hint="default"/>
      </w:rPr>
    </w:lvl>
    <w:lvl w:ilvl="5" w:tplc="0EEA659E" w:tentative="1">
      <w:start w:val="1"/>
      <w:numFmt w:val="bullet"/>
      <w:lvlText w:val=""/>
      <w:lvlJc w:val="left"/>
      <w:pPr>
        <w:ind w:left="4320" w:hanging="360"/>
      </w:pPr>
      <w:rPr>
        <w:rFonts w:ascii="Wingdings" w:hAnsi="Wingdings" w:hint="default"/>
      </w:rPr>
    </w:lvl>
    <w:lvl w:ilvl="6" w:tplc="E7449FD4" w:tentative="1">
      <w:start w:val="1"/>
      <w:numFmt w:val="bullet"/>
      <w:lvlText w:val=""/>
      <w:lvlJc w:val="left"/>
      <w:pPr>
        <w:ind w:left="5040" w:hanging="360"/>
      </w:pPr>
      <w:rPr>
        <w:rFonts w:ascii="Symbol" w:hAnsi="Symbol" w:hint="default"/>
      </w:rPr>
    </w:lvl>
    <w:lvl w:ilvl="7" w:tplc="F0FEEF7A" w:tentative="1">
      <w:start w:val="1"/>
      <w:numFmt w:val="bullet"/>
      <w:lvlText w:val="o"/>
      <w:lvlJc w:val="left"/>
      <w:pPr>
        <w:ind w:left="5760" w:hanging="360"/>
      </w:pPr>
      <w:rPr>
        <w:rFonts w:ascii="Courier New" w:hAnsi="Courier New" w:cs="Courier New" w:hint="default"/>
      </w:rPr>
    </w:lvl>
    <w:lvl w:ilvl="8" w:tplc="D460F45C" w:tentative="1">
      <w:start w:val="1"/>
      <w:numFmt w:val="bullet"/>
      <w:lvlText w:val=""/>
      <w:lvlJc w:val="left"/>
      <w:pPr>
        <w:ind w:left="6480" w:hanging="360"/>
      </w:pPr>
      <w:rPr>
        <w:rFonts w:ascii="Wingdings" w:hAnsi="Wingdings" w:hint="default"/>
      </w:rPr>
    </w:lvl>
  </w:abstractNum>
  <w:num w:numId="1" w16cid:durableId="1999454141">
    <w:abstractNumId w:val="3"/>
  </w:num>
  <w:num w:numId="2" w16cid:durableId="2031374914">
    <w:abstractNumId w:val="7"/>
  </w:num>
  <w:num w:numId="3" w16cid:durableId="1881044387">
    <w:abstractNumId w:val="1"/>
  </w:num>
  <w:num w:numId="4" w16cid:durableId="586421751">
    <w:abstractNumId w:val="4"/>
  </w:num>
  <w:num w:numId="5" w16cid:durableId="1144926049">
    <w:abstractNumId w:val="6"/>
  </w:num>
  <w:num w:numId="6" w16cid:durableId="458842920">
    <w:abstractNumId w:val="0"/>
  </w:num>
  <w:num w:numId="7" w16cid:durableId="483861440">
    <w:abstractNumId w:val="2"/>
  </w:num>
  <w:num w:numId="8" w16cid:durableId="820081710">
    <w:abstractNumId w:val="8"/>
  </w:num>
  <w:num w:numId="9" w16cid:durableId="397291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7D"/>
    <w:rsid w:val="00000A70"/>
    <w:rsid w:val="000032B8"/>
    <w:rsid w:val="00003B06"/>
    <w:rsid w:val="000054B9"/>
    <w:rsid w:val="00007461"/>
    <w:rsid w:val="0001117E"/>
    <w:rsid w:val="0001125F"/>
    <w:rsid w:val="0001338E"/>
    <w:rsid w:val="00013D24"/>
    <w:rsid w:val="00014AF0"/>
    <w:rsid w:val="000155D6"/>
    <w:rsid w:val="00015D4E"/>
    <w:rsid w:val="000209E5"/>
    <w:rsid w:val="00020C1E"/>
    <w:rsid w:val="00020E9B"/>
    <w:rsid w:val="000236C1"/>
    <w:rsid w:val="000236EC"/>
    <w:rsid w:val="0002413D"/>
    <w:rsid w:val="000249F2"/>
    <w:rsid w:val="00027E81"/>
    <w:rsid w:val="00030AD8"/>
    <w:rsid w:val="0003107A"/>
    <w:rsid w:val="00031C95"/>
    <w:rsid w:val="000330D4"/>
    <w:rsid w:val="0003572D"/>
    <w:rsid w:val="00035DB0"/>
    <w:rsid w:val="00036825"/>
    <w:rsid w:val="00037088"/>
    <w:rsid w:val="000400D5"/>
    <w:rsid w:val="00043B84"/>
    <w:rsid w:val="0004512B"/>
    <w:rsid w:val="000456CE"/>
    <w:rsid w:val="000463F0"/>
    <w:rsid w:val="00046BDA"/>
    <w:rsid w:val="0004762E"/>
    <w:rsid w:val="000532BD"/>
    <w:rsid w:val="00054974"/>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B7836"/>
    <w:rsid w:val="000C12C4"/>
    <w:rsid w:val="000C49DA"/>
    <w:rsid w:val="000C4B3D"/>
    <w:rsid w:val="000C6DC1"/>
    <w:rsid w:val="000C6E20"/>
    <w:rsid w:val="000C76D7"/>
    <w:rsid w:val="000C7F1D"/>
    <w:rsid w:val="000D1FCD"/>
    <w:rsid w:val="000D2715"/>
    <w:rsid w:val="000D2EBA"/>
    <w:rsid w:val="000D32A1"/>
    <w:rsid w:val="000D3725"/>
    <w:rsid w:val="000D46E5"/>
    <w:rsid w:val="000D769C"/>
    <w:rsid w:val="000E1976"/>
    <w:rsid w:val="000E20F1"/>
    <w:rsid w:val="000E5B20"/>
    <w:rsid w:val="000E7C14"/>
    <w:rsid w:val="000F094C"/>
    <w:rsid w:val="000F1392"/>
    <w:rsid w:val="000F18A2"/>
    <w:rsid w:val="000F27C2"/>
    <w:rsid w:val="000F2A7F"/>
    <w:rsid w:val="000F3DBD"/>
    <w:rsid w:val="000F5843"/>
    <w:rsid w:val="000F6A06"/>
    <w:rsid w:val="0010154D"/>
    <w:rsid w:val="00102D3F"/>
    <w:rsid w:val="00102EC7"/>
    <w:rsid w:val="0010347D"/>
    <w:rsid w:val="00106283"/>
    <w:rsid w:val="00107B92"/>
    <w:rsid w:val="00110F8C"/>
    <w:rsid w:val="0011274A"/>
    <w:rsid w:val="00113522"/>
    <w:rsid w:val="0011378D"/>
    <w:rsid w:val="00115EE9"/>
    <w:rsid w:val="001169F9"/>
    <w:rsid w:val="00117FF2"/>
    <w:rsid w:val="00120797"/>
    <w:rsid w:val="001218D2"/>
    <w:rsid w:val="0012371B"/>
    <w:rsid w:val="001245C8"/>
    <w:rsid w:val="00124653"/>
    <w:rsid w:val="001247C5"/>
    <w:rsid w:val="00127893"/>
    <w:rsid w:val="001312BB"/>
    <w:rsid w:val="00137D90"/>
    <w:rsid w:val="00141FB6"/>
    <w:rsid w:val="00142F8E"/>
    <w:rsid w:val="00143C8B"/>
    <w:rsid w:val="001443BD"/>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7CB"/>
    <w:rsid w:val="00187C1B"/>
    <w:rsid w:val="001908AC"/>
    <w:rsid w:val="00190CFB"/>
    <w:rsid w:val="001919F4"/>
    <w:rsid w:val="00191B80"/>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15B9"/>
    <w:rsid w:val="001C3EB2"/>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0616"/>
    <w:rsid w:val="002116DD"/>
    <w:rsid w:val="0021383D"/>
    <w:rsid w:val="00214B74"/>
    <w:rsid w:val="00216BBA"/>
    <w:rsid w:val="00216E12"/>
    <w:rsid w:val="00217466"/>
    <w:rsid w:val="0021751D"/>
    <w:rsid w:val="00217C49"/>
    <w:rsid w:val="00220FF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4C2"/>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397A"/>
    <w:rsid w:val="002F4AEC"/>
    <w:rsid w:val="002F652B"/>
    <w:rsid w:val="002F795D"/>
    <w:rsid w:val="00300823"/>
    <w:rsid w:val="00300D7F"/>
    <w:rsid w:val="00301638"/>
    <w:rsid w:val="00303B0C"/>
    <w:rsid w:val="0030459C"/>
    <w:rsid w:val="00313DFE"/>
    <w:rsid w:val="003143B2"/>
    <w:rsid w:val="00314821"/>
    <w:rsid w:val="0031483F"/>
    <w:rsid w:val="0031741B"/>
    <w:rsid w:val="00321337"/>
    <w:rsid w:val="0032160F"/>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535"/>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754"/>
    <w:rsid w:val="003B48E2"/>
    <w:rsid w:val="003B4FA1"/>
    <w:rsid w:val="003B5BAD"/>
    <w:rsid w:val="003B66B6"/>
    <w:rsid w:val="003B7984"/>
    <w:rsid w:val="003B7AF6"/>
    <w:rsid w:val="003C0411"/>
    <w:rsid w:val="003C1871"/>
    <w:rsid w:val="003C1C55"/>
    <w:rsid w:val="003C25EA"/>
    <w:rsid w:val="003C36FD"/>
    <w:rsid w:val="003C664C"/>
    <w:rsid w:val="003D27E6"/>
    <w:rsid w:val="003D726D"/>
    <w:rsid w:val="003E0875"/>
    <w:rsid w:val="003E0BB8"/>
    <w:rsid w:val="003E6CB0"/>
    <w:rsid w:val="003F1F5E"/>
    <w:rsid w:val="003F286A"/>
    <w:rsid w:val="003F77F8"/>
    <w:rsid w:val="00400ACD"/>
    <w:rsid w:val="00401E35"/>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E94"/>
    <w:rsid w:val="00423FBC"/>
    <w:rsid w:val="004241AA"/>
    <w:rsid w:val="0042422E"/>
    <w:rsid w:val="00426932"/>
    <w:rsid w:val="0043190E"/>
    <w:rsid w:val="004324E9"/>
    <w:rsid w:val="00432505"/>
    <w:rsid w:val="004329B9"/>
    <w:rsid w:val="0043480A"/>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DF7"/>
    <w:rsid w:val="004B412A"/>
    <w:rsid w:val="004B576C"/>
    <w:rsid w:val="004B772A"/>
    <w:rsid w:val="004C302F"/>
    <w:rsid w:val="004C4609"/>
    <w:rsid w:val="004C4B8A"/>
    <w:rsid w:val="004C52EF"/>
    <w:rsid w:val="004C59B8"/>
    <w:rsid w:val="004C5F34"/>
    <w:rsid w:val="004C600C"/>
    <w:rsid w:val="004C7888"/>
    <w:rsid w:val="004D1AC9"/>
    <w:rsid w:val="004D27DE"/>
    <w:rsid w:val="004D3F41"/>
    <w:rsid w:val="004D5098"/>
    <w:rsid w:val="004D5219"/>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1B89"/>
    <w:rsid w:val="00562C87"/>
    <w:rsid w:val="005636BD"/>
    <w:rsid w:val="005666D5"/>
    <w:rsid w:val="005669A7"/>
    <w:rsid w:val="00570BB1"/>
    <w:rsid w:val="00573401"/>
    <w:rsid w:val="00576714"/>
    <w:rsid w:val="0057685A"/>
    <w:rsid w:val="005832EE"/>
    <w:rsid w:val="005847EF"/>
    <w:rsid w:val="005851E6"/>
    <w:rsid w:val="005878B7"/>
    <w:rsid w:val="00592C9A"/>
    <w:rsid w:val="00593DF8"/>
    <w:rsid w:val="00595648"/>
    <w:rsid w:val="00595745"/>
    <w:rsid w:val="00595C03"/>
    <w:rsid w:val="005A0E18"/>
    <w:rsid w:val="005A12A5"/>
    <w:rsid w:val="005A3790"/>
    <w:rsid w:val="005A3CCB"/>
    <w:rsid w:val="005A6D13"/>
    <w:rsid w:val="005B031F"/>
    <w:rsid w:val="005B1622"/>
    <w:rsid w:val="005B3298"/>
    <w:rsid w:val="005B3C13"/>
    <w:rsid w:val="005B5516"/>
    <w:rsid w:val="005B5D2B"/>
    <w:rsid w:val="005C1496"/>
    <w:rsid w:val="005C17C5"/>
    <w:rsid w:val="005C2B21"/>
    <w:rsid w:val="005C2C00"/>
    <w:rsid w:val="005C4C6F"/>
    <w:rsid w:val="005C5127"/>
    <w:rsid w:val="005C7CCB"/>
    <w:rsid w:val="005D1361"/>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E9E"/>
    <w:rsid w:val="00603B0F"/>
    <w:rsid w:val="006049F5"/>
    <w:rsid w:val="00605F7B"/>
    <w:rsid w:val="00607E64"/>
    <w:rsid w:val="006106E9"/>
    <w:rsid w:val="0061159E"/>
    <w:rsid w:val="00614633"/>
    <w:rsid w:val="00614BC8"/>
    <w:rsid w:val="006151FB"/>
    <w:rsid w:val="00617411"/>
    <w:rsid w:val="006249CB"/>
    <w:rsid w:val="006272DD"/>
    <w:rsid w:val="006278A0"/>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65278"/>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1C17"/>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6DE1"/>
    <w:rsid w:val="007075FB"/>
    <w:rsid w:val="0070787B"/>
    <w:rsid w:val="00710030"/>
    <w:rsid w:val="0071131D"/>
    <w:rsid w:val="00711E3D"/>
    <w:rsid w:val="00711E85"/>
    <w:rsid w:val="00712DDA"/>
    <w:rsid w:val="00717739"/>
    <w:rsid w:val="00717DE4"/>
    <w:rsid w:val="00721724"/>
    <w:rsid w:val="00722EC5"/>
    <w:rsid w:val="00723326"/>
    <w:rsid w:val="00724252"/>
    <w:rsid w:val="00727E7A"/>
    <w:rsid w:val="007310AA"/>
    <w:rsid w:val="0073163C"/>
    <w:rsid w:val="00731DE3"/>
    <w:rsid w:val="00735B9D"/>
    <w:rsid w:val="007365A5"/>
    <w:rsid w:val="00736FB0"/>
    <w:rsid w:val="007404BC"/>
    <w:rsid w:val="00740D13"/>
    <w:rsid w:val="00740F5F"/>
    <w:rsid w:val="00742794"/>
    <w:rsid w:val="00743C4C"/>
    <w:rsid w:val="00743F5E"/>
    <w:rsid w:val="007445B7"/>
    <w:rsid w:val="00744920"/>
    <w:rsid w:val="007509BE"/>
    <w:rsid w:val="0075287B"/>
    <w:rsid w:val="00755C7B"/>
    <w:rsid w:val="007632E0"/>
    <w:rsid w:val="00764786"/>
    <w:rsid w:val="00766E12"/>
    <w:rsid w:val="0077098E"/>
    <w:rsid w:val="00771287"/>
    <w:rsid w:val="0077149E"/>
    <w:rsid w:val="00777518"/>
    <w:rsid w:val="0077779E"/>
    <w:rsid w:val="0078079E"/>
    <w:rsid w:val="00780FB6"/>
    <w:rsid w:val="0078552A"/>
    <w:rsid w:val="00785729"/>
    <w:rsid w:val="00786058"/>
    <w:rsid w:val="0079487D"/>
    <w:rsid w:val="007966D4"/>
    <w:rsid w:val="00796A0A"/>
    <w:rsid w:val="0079792C"/>
    <w:rsid w:val="007A0989"/>
    <w:rsid w:val="007A0CB7"/>
    <w:rsid w:val="007A331F"/>
    <w:rsid w:val="007A3844"/>
    <w:rsid w:val="007A4381"/>
    <w:rsid w:val="007A5466"/>
    <w:rsid w:val="007A60F1"/>
    <w:rsid w:val="007A7EC1"/>
    <w:rsid w:val="007B4FCA"/>
    <w:rsid w:val="007B5347"/>
    <w:rsid w:val="007B7B85"/>
    <w:rsid w:val="007C462E"/>
    <w:rsid w:val="007C496B"/>
    <w:rsid w:val="007C6803"/>
    <w:rsid w:val="007D2892"/>
    <w:rsid w:val="007D2DCC"/>
    <w:rsid w:val="007D47E1"/>
    <w:rsid w:val="007D5B24"/>
    <w:rsid w:val="007D7FCB"/>
    <w:rsid w:val="007E33B6"/>
    <w:rsid w:val="007E59E8"/>
    <w:rsid w:val="007F2A95"/>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985"/>
    <w:rsid w:val="00823E4C"/>
    <w:rsid w:val="00824408"/>
    <w:rsid w:val="00827749"/>
    <w:rsid w:val="00827B7E"/>
    <w:rsid w:val="00830023"/>
    <w:rsid w:val="00830EEB"/>
    <w:rsid w:val="008347A9"/>
    <w:rsid w:val="00835628"/>
    <w:rsid w:val="008359BD"/>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D06"/>
    <w:rsid w:val="00871775"/>
    <w:rsid w:val="00871AEF"/>
    <w:rsid w:val="008722B9"/>
    <w:rsid w:val="008726E5"/>
    <w:rsid w:val="0087289E"/>
    <w:rsid w:val="00874C05"/>
    <w:rsid w:val="00874C7D"/>
    <w:rsid w:val="0087588B"/>
    <w:rsid w:val="0087680A"/>
    <w:rsid w:val="008806EB"/>
    <w:rsid w:val="008826F2"/>
    <w:rsid w:val="008834BE"/>
    <w:rsid w:val="008845BA"/>
    <w:rsid w:val="00884AE3"/>
    <w:rsid w:val="00885203"/>
    <w:rsid w:val="008859CA"/>
    <w:rsid w:val="008861EE"/>
    <w:rsid w:val="00890B59"/>
    <w:rsid w:val="008930D7"/>
    <w:rsid w:val="008947A7"/>
    <w:rsid w:val="00897E80"/>
    <w:rsid w:val="00897F16"/>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1E53"/>
    <w:rsid w:val="008F3053"/>
    <w:rsid w:val="008F3136"/>
    <w:rsid w:val="008F40DF"/>
    <w:rsid w:val="008F5E16"/>
    <w:rsid w:val="008F5EFC"/>
    <w:rsid w:val="00901670"/>
    <w:rsid w:val="00902212"/>
    <w:rsid w:val="00903E0A"/>
    <w:rsid w:val="00904721"/>
    <w:rsid w:val="00907780"/>
    <w:rsid w:val="00907EDD"/>
    <w:rsid w:val="009107AD"/>
    <w:rsid w:val="00912B72"/>
    <w:rsid w:val="00915568"/>
    <w:rsid w:val="00917E0C"/>
    <w:rsid w:val="00920711"/>
    <w:rsid w:val="00921A1E"/>
    <w:rsid w:val="00924EA9"/>
    <w:rsid w:val="00925CE1"/>
    <w:rsid w:val="00925F5C"/>
    <w:rsid w:val="00930897"/>
    <w:rsid w:val="009320D2"/>
    <w:rsid w:val="009329FB"/>
    <w:rsid w:val="00932C77"/>
    <w:rsid w:val="0093417F"/>
    <w:rsid w:val="009349B8"/>
    <w:rsid w:val="00934AC2"/>
    <w:rsid w:val="009375BB"/>
    <w:rsid w:val="009418E9"/>
    <w:rsid w:val="00943313"/>
    <w:rsid w:val="00946044"/>
    <w:rsid w:val="0094653B"/>
    <w:rsid w:val="009465AB"/>
    <w:rsid w:val="00946DEE"/>
    <w:rsid w:val="00953499"/>
    <w:rsid w:val="00953A71"/>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29E1"/>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4DFA"/>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0348"/>
    <w:rsid w:val="00A32304"/>
    <w:rsid w:val="00A3410B"/>
    <w:rsid w:val="00A3420E"/>
    <w:rsid w:val="00A35D66"/>
    <w:rsid w:val="00A41085"/>
    <w:rsid w:val="00A4161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160"/>
    <w:rsid w:val="00A803CF"/>
    <w:rsid w:val="00A8133F"/>
    <w:rsid w:val="00A82CB4"/>
    <w:rsid w:val="00A837A8"/>
    <w:rsid w:val="00A83C36"/>
    <w:rsid w:val="00A932BB"/>
    <w:rsid w:val="00A93579"/>
    <w:rsid w:val="00A93934"/>
    <w:rsid w:val="00A95D0C"/>
    <w:rsid w:val="00A95D51"/>
    <w:rsid w:val="00AA0E36"/>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2EF"/>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58F9"/>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41D4"/>
    <w:rsid w:val="00B564BF"/>
    <w:rsid w:val="00B6104E"/>
    <w:rsid w:val="00B610C7"/>
    <w:rsid w:val="00B62106"/>
    <w:rsid w:val="00B626A8"/>
    <w:rsid w:val="00B63D1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48F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FF1"/>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5EED"/>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E28"/>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2E4"/>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806"/>
    <w:rsid w:val="00DC1F1B"/>
    <w:rsid w:val="00DC3D8F"/>
    <w:rsid w:val="00DC42E8"/>
    <w:rsid w:val="00DC4483"/>
    <w:rsid w:val="00DC6DBB"/>
    <w:rsid w:val="00DC7761"/>
    <w:rsid w:val="00DD0022"/>
    <w:rsid w:val="00DD073C"/>
    <w:rsid w:val="00DD128C"/>
    <w:rsid w:val="00DD1B8F"/>
    <w:rsid w:val="00DD5BCC"/>
    <w:rsid w:val="00DD7509"/>
    <w:rsid w:val="00DD79C7"/>
    <w:rsid w:val="00DD7D6E"/>
    <w:rsid w:val="00DE34B2"/>
    <w:rsid w:val="00DE49DE"/>
    <w:rsid w:val="00DE542C"/>
    <w:rsid w:val="00DE618B"/>
    <w:rsid w:val="00DE6EC2"/>
    <w:rsid w:val="00DF0834"/>
    <w:rsid w:val="00DF0873"/>
    <w:rsid w:val="00DF2707"/>
    <w:rsid w:val="00DF4113"/>
    <w:rsid w:val="00DF4D90"/>
    <w:rsid w:val="00DF5EBD"/>
    <w:rsid w:val="00DF6BA8"/>
    <w:rsid w:val="00DF78EA"/>
    <w:rsid w:val="00DF7CA3"/>
    <w:rsid w:val="00DF7F0D"/>
    <w:rsid w:val="00E00D5A"/>
    <w:rsid w:val="00E00E72"/>
    <w:rsid w:val="00E01462"/>
    <w:rsid w:val="00E01A76"/>
    <w:rsid w:val="00E04B30"/>
    <w:rsid w:val="00E05FB7"/>
    <w:rsid w:val="00E0603F"/>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0DA"/>
    <w:rsid w:val="00E71254"/>
    <w:rsid w:val="00E73CCD"/>
    <w:rsid w:val="00E76453"/>
    <w:rsid w:val="00E77353"/>
    <w:rsid w:val="00E775AE"/>
    <w:rsid w:val="00E8272C"/>
    <w:rsid w:val="00E827C7"/>
    <w:rsid w:val="00E85DBD"/>
    <w:rsid w:val="00E87A99"/>
    <w:rsid w:val="00E90702"/>
    <w:rsid w:val="00E90E52"/>
    <w:rsid w:val="00E9241E"/>
    <w:rsid w:val="00E93DEF"/>
    <w:rsid w:val="00E947B1"/>
    <w:rsid w:val="00E96852"/>
    <w:rsid w:val="00EA16AC"/>
    <w:rsid w:val="00EA2EFF"/>
    <w:rsid w:val="00EA385A"/>
    <w:rsid w:val="00EA3931"/>
    <w:rsid w:val="00EA658E"/>
    <w:rsid w:val="00EA7A88"/>
    <w:rsid w:val="00EB27F2"/>
    <w:rsid w:val="00EB3928"/>
    <w:rsid w:val="00EB5373"/>
    <w:rsid w:val="00EC02A2"/>
    <w:rsid w:val="00EC379B"/>
    <w:rsid w:val="00EC37DF"/>
    <w:rsid w:val="00EC3A99"/>
    <w:rsid w:val="00EC41B1"/>
    <w:rsid w:val="00EC5E2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3D9"/>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BDF"/>
    <w:rsid w:val="00F82811"/>
    <w:rsid w:val="00F83F8D"/>
    <w:rsid w:val="00F84153"/>
    <w:rsid w:val="00F85661"/>
    <w:rsid w:val="00F86F7D"/>
    <w:rsid w:val="00F92703"/>
    <w:rsid w:val="00F96602"/>
    <w:rsid w:val="00F9735A"/>
    <w:rsid w:val="00FA32FC"/>
    <w:rsid w:val="00FA3318"/>
    <w:rsid w:val="00FA36D6"/>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FF5"/>
    <w:rsid w:val="00FF4341"/>
    <w:rsid w:val="00FF450E"/>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E5E78A-7C67-450D-A032-FE739A11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30023"/>
    <w:rPr>
      <w:sz w:val="16"/>
      <w:szCs w:val="16"/>
    </w:rPr>
  </w:style>
  <w:style w:type="paragraph" w:styleId="CommentText">
    <w:name w:val="annotation text"/>
    <w:basedOn w:val="Normal"/>
    <w:link w:val="CommentTextChar"/>
    <w:unhideWhenUsed/>
    <w:rsid w:val="00830023"/>
    <w:rPr>
      <w:sz w:val="20"/>
      <w:szCs w:val="20"/>
    </w:rPr>
  </w:style>
  <w:style w:type="character" w:customStyle="1" w:styleId="CommentTextChar">
    <w:name w:val="Comment Text Char"/>
    <w:basedOn w:val="DefaultParagraphFont"/>
    <w:link w:val="CommentText"/>
    <w:rsid w:val="00830023"/>
  </w:style>
  <w:style w:type="paragraph" w:styleId="CommentSubject">
    <w:name w:val="annotation subject"/>
    <w:basedOn w:val="CommentText"/>
    <w:next w:val="CommentText"/>
    <w:link w:val="CommentSubjectChar"/>
    <w:semiHidden/>
    <w:unhideWhenUsed/>
    <w:rsid w:val="00830023"/>
    <w:rPr>
      <w:b/>
      <w:bCs/>
    </w:rPr>
  </w:style>
  <w:style w:type="character" w:customStyle="1" w:styleId="CommentSubjectChar">
    <w:name w:val="Comment Subject Char"/>
    <w:basedOn w:val="CommentTextChar"/>
    <w:link w:val="CommentSubject"/>
    <w:semiHidden/>
    <w:rsid w:val="00830023"/>
    <w:rPr>
      <w:b/>
      <w:bCs/>
    </w:rPr>
  </w:style>
  <w:style w:type="paragraph" w:styleId="Revision">
    <w:name w:val="Revision"/>
    <w:hidden/>
    <w:uiPriority w:val="99"/>
    <w:semiHidden/>
    <w:rsid w:val="00817985"/>
    <w:rPr>
      <w:sz w:val="24"/>
      <w:szCs w:val="24"/>
    </w:rPr>
  </w:style>
  <w:style w:type="character" w:styleId="Hyperlink">
    <w:name w:val="Hyperlink"/>
    <w:basedOn w:val="DefaultParagraphFont"/>
    <w:unhideWhenUsed/>
    <w:rsid w:val="00F77BDF"/>
    <w:rPr>
      <w:color w:val="0000FF" w:themeColor="hyperlink"/>
      <w:u w:val="single"/>
    </w:rPr>
  </w:style>
  <w:style w:type="character" w:customStyle="1" w:styleId="UnresolvedMention1">
    <w:name w:val="Unresolved Mention1"/>
    <w:basedOn w:val="DefaultParagraphFont"/>
    <w:uiPriority w:val="99"/>
    <w:semiHidden/>
    <w:unhideWhenUsed/>
    <w:rsid w:val="00F7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11430</Characters>
  <Application>Microsoft Office Word</Application>
  <DocSecurity>0</DocSecurity>
  <Lines>232</Lines>
  <Paragraphs>94</Paragraphs>
  <ScaleCrop>false</ScaleCrop>
  <HeadingPairs>
    <vt:vector size="2" baseType="variant">
      <vt:variant>
        <vt:lpstr>Title</vt:lpstr>
      </vt:variant>
      <vt:variant>
        <vt:i4>1</vt:i4>
      </vt:variant>
    </vt:vector>
  </HeadingPairs>
  <TitlesOfParts>
    <vt:vector size="1" baseType="lpstr">
      <vt:lpstr>BA - SB02623 (Committee Report (Substituted))</vt:lpstr>
    </vt:vector>
  </TitlesOfParts>
  <Company>State of Texas</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31580</dc:subject>
  <dc:creator>State of Texas</dc:creator>
  <dc:description>SB 2623 by Creighton-(H)Intergovernmental Affairs (Substitute Document Number: 89R 29047)</dc:description>
  <cp:lastModifiedBy>Damian Duarte</cp:lastModifiedBy>
  <cp:revision>2</cp:revision>
  <cp:lastPrinted>2003-11-26T17:21:00Z</cp:lastPrinted>
  <dcterms:created xsi:type="dcterms:W3CDTF">2025-05-20T21:35:00Z</dcterms:created>
  <dcterms:modified xsi:type="dcterms:W3CDTF">2025-05-20T21:35:00Z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25.139.677</vt:lpwstr>
  </property>
</Properties>
</file>