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36B54" w14:paraId="1339556F" w14:textId="77777777" w:rsidTr="00345119">
        <w:tc>
          <w:tcPr>
            <w:tcW w:w="9576" w:type="dxa"/>
            <w:noWrap/>
          </w:tcPr>
          <w:p w14:paraId="57EBFC42" w14:textId="77777777" w:rsidR="008423E4" w:rsidRPr="0022177D" w:rsidRDefault="00EA51DE" w:rsidP="004E2C43">
            <w:pPr>
              <w:pStyle w:val="Heading1"/>
            </w:pPr>
            <w:r w:rsidRPr="00631897">
              <w:t>BILL ANALYSIS</w:t>
            </w:r>
          </w:p>
        </w:tc>
      </w:tr>
    </w:tbl>
    <w:p w14:paraId="198F348E" w14:textId="77777777" w:rsidR="008423E4" w:rsidRPr="0022177D" w:rsidRDefault="008423E4" w:rsidP="004E2C43">
      <w:pPr>
        <w:jc w:val="center"/>
      </w:pPr>
    </w:p>
    <w:p w14:paraId="25DFEC07" w14:textId="77777777" w:rsidR="008423E4" w:rsidRPr="00B31F0E" w:rsidRDefault="008423E4" w:rsidP="004E2C43"/>
    <w:p w14:paraId="1A6E841D" w14:textId="77777777" w:rsidR="008423E4" w:rsidRPr="00742794" w:rsidRDefault="008423E4" w:rsidP="004E2C4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36B54" w14:paraId="4E9349FE" w14:textId="77777777" w:rsidTr="00345119">
        <w:tc>
          <w:tcPr>
            <w:tcW w:w="9576" w:type="dxa"/>
          </w:tcPr>
          <w:p w14:paraId="1CCF0F86" w14:textId="0C9F295D" w:rsidR="008423E4" w:rsidRPr="00861995" w:rsidRDefault="00EA51DE" w:rsidP="004E2C43">
            <w:pPr>
              <w:jc w:val="right"/>
            </w:pPr>
            <w:r>
              <w:t>S.B. 3034</w:t>
            </w:r>
          </w:p>
        </w:tc>
      </w:tr>
      <w:tr w:rsidR="00036B54" w14:paraId="6F686DA1" w14:textId="77777777" w:rsidTr="00345119">
        <w:tc>
          <w:tcPr>
            <w:tcW w:w="9576" w:type="dxa"/>
          </w:tcPr>
          <w:p w14:paraId="038A659A" w14:textId="7E0B2534" w:rsidR="008423E4" w:rsidRPr="00861995" w:rsidRDefault="00EA51DE" w:rsidP="004E2C43">
            <w:pPr>
              <w:jc w:val="right"/>
            </w:pPr>
            <w:r>
              <w:t xml:space="preserve">By: </w:t>
            </w:r>
            <w:r w:rsidR="00AD0BD7">
              <w:t>Bettencourt</w:t>
            </w:r>
          </w:p>
        </w:tc>
      </w:tr>
      <w:tr w:rsidR="00036B54" w14:paraId="5CBB4590" w14:textId="77777777" w:rsidTr="00345119">
        <w:tc>
          <w:tcPr>
            <w:tcW w:w="9576" w:type="dxa"/>
          </w:tcPr>
          <w:p w14:paraId="1442AB88" w14:textId="510296CC" w:rsidR="008423E4" w:rsidRPr="00861995" w:rsidRDefault="00EA51DE" w:rsidP="004E2C43">
            <w:pPr>
              <w:jc w:val="right"/>
            </w:pPr>
            <w:r>
              <w:t>Transportation</w:t>
            </w:r>
          </w:p>
        </w:tc>
      </w:tr>
      <w:tr w:rsidR="00036B54" w14:paraId="22A5C185" w14:textId="77777777" w:rsidTr="00345119">
        <w:tc>
          <w:tcPr>
            <w:tcW w:w="9576" w:type="dxa"/>
          </w:tcPr>
          <w:p w14:paraId="17689841" w14:textId="59C43F44" w:rsidR="008423E4" w:rsidRDefault="00EA51DE" w:rsidP="004E2C43">
            <w:pPr>
              <w:jc w:val="right"/>
            </w:pPr>
            <w:r>
              <w:t>Committee Report (Unamended)</w:t>
            </w:r>
          </w:p>
        </w:tc>
      </w:tr>
    </w:tbl>
    <w:p w14:paraId="4BFDBEDE" w14:textId="77777777" w:rsidR="008423E4" w:rsidRDefault="008423E4" w:rsidP="004E2C43">
      <w:pPr>
        <w:tabs>
          <w:tab w:val="right" w:pos="9360"/>
        </w:tabs>
      </w:pPr>
    </w:p>
    <w:p w14:paraId="60902349" w14:textId="77777777" w:rsidR="008423E4" w:rsidRDefault="008423E4" w:rsidP="004E2C43"/>
    <w:p w14:paraId="14A6A327" w14:textId="77777777" w:rsidR="008423E4" w:rsidRDefault="008423E4" w:rsidP="004E2C4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36B54" w14:paraId="173125FC" w14:textId="77777777" w:rsidTr="00345119">
        <w:tc>
          <w:tcPr>
            <w:tcW w:w="9576" w:type="dxa"/>
          </w:tcPr>
          <w:p w14:paraId="57CDDDC4" w14:textId="77777777" w:rsidR="008423E4" w:rsidRPr="00A8133F" w:rsidRDefault="00EA51DE" w:rsidP="004E2C4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FC196CD" w14:textId="77777777" w:rsidR="008423E4" w:rsidRDefault="008423E4" w:rsidP="004E2C43"/>
          <w:p w14:paraId="45C388AA" w14:textId="58BBCEB6" w:rsidR="00266658" w:rsidRDefault="00EA51DE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Doug</w:t>
            </w:r>
            <w:r w:rsidRPr="00B64CA9">
              <w:t xml:space="preserve"> Pitcock is a graduate of Texas A&amp;M University</w:t>
            </w:r>
            <w:r w:rsidR="00A0454E">
              <w:t>,</w:t>
            </w:r>
            <w:r w:rsidRPr="00B64CA9">
              <w:t xml:space="preserve"> Class of 1949</w:t>
            </w:r>
            <w:r w:rsidR="00A0454E">
              <w:t>,</w:t>
            </w:r>
            <w:r w:rsidRPr="00B64CA9">
              <w:t xml:space="preserve"> with a degree in civil engineering</w:t>
            </w:r>
            <w:r>
              <w:t>, and i</w:t>
            </w:r>
            <w:r w:rsidRPr="00B64CA9">
              <w:t>n 1955</w:t>
            </w:r>
            <w:r>
              <w:t>,</w:t>
            </w:r>
            <w:r w:rsidRPr="00B64CA9">
              <w:t xml:space="preserve"> the Williams brothers and Mr. Pitcock founded the Williams Brothers construction company</w:t>
            </w:r>
            <w:r>
              <w:t>. T</w:t>
            </w:r>
            <w:r w:rsidRPr="00B64CA9">
              <w:t>he next year</w:t>
            </w:r>
            <w:r w:rsidR="004F75F1">
              <w:t>,</w:t>
            </w:r>
            <w:r w:rsidRPr="00B64CA9">
              <w:t xml:space="preserve"> President Dwight D. Eisenhower signed the Interstate Highway Act</w:t>
            </w:r>
            <w:r>
              <w:t>, and s</w:t>
            </w:r>
            <w:r w:rsidRPr="00B64CA9">
              <w:t>ince that time, Williams Brothers has completed over 400 Texas Department of Transportation projects with a total value of over $17 billion</w:t>
            </w:r>
            <w:r>
              <w:t>,</w:t>
            </w:r>
            <w:r w:rsidRPr="00B64CA9">
              <w:t xml:space="preserve"> making the company one of the largest highway contractors in the United States</w:t>
            </w:r>
            <w:r w:rsidR="00A0454E">
              <w:t>,</w:t>
            </w:r>
            <w:r w:rsidRPr="00B64CA9">
              <w:t xml:space="preserve"> as well as the largest in Texas. </w:t>
            </w:r>
          </w:p>
          <w:p w14:paraId="781EB8AB" w14:textId="77777777" w:rsidR="00266658" w:rsidRDefault="00266658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10C2EDD9" w14:textId="1FE2C920" w:rsidR="008423E4" w:rsidRDefault="00EA51DE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64CA9">
              <w:t>Mr. Pitcock has received multiple distinctions from Texas A&amp;M University over the years</w:t>
            </w:r>
            <w:r w:rsidR="00266658">
              <w:t xml:space="preserve"> and</w:t>
            </w:r>
            <w:r w:rsidRPr="00B64CA9">
              <w:t xml:space="preserve"> has funded numerous fellowships and research projects at Texas A&amp;M and established several Corps of Cadets scholarships. The on-campus hotel and conference center at Texas A&amp;M is named in his honor. </w:t>
            </w:r>
            <w:r>
              <w:t>S.B. 3034</w:t>
            </w:r>
            <w:r w:rsidRPr="00B64CA9">
              <w:t xml:space="preserve"> see</w:t>
            </w:r>
            <w:r w:rsidR="004F5700">
              <w:t>k</w:t>
            </w:r>
            <w:r w:rsidRPr="00B64CA9">
              <w:t xml:space="preserve">s </w:t>
            </w:r>
            <w:r w:rsidR="004F5700">
              <w:t>to</w:t>
            </w:r>
            <w:r w:rsidRPr="00B64CA9">
              <w:t xml:space="preserve"> </w:t>
            </w:r>
            <w:r w:rsidR="006E3FC4">
              <w:t>designate</w:t>
            </w:r>
            <w:r w:rsidR="006E3FC4" w:rsidRPr="00B64CA9">
              <w:t xml:space="preserve"> </w:t>
            </w:r>
            <w:r w:rsidRPr="00B64CA9">
              <w:t xml:space="preserve">a portion of </w:t>
            </w:r>
            <w:r w:rsidR="006E3FC4" w:rsidRPr="006E3FC4">
              <w:t>State Highway 249</w:t>
            </w:r>
            <w:r w:rsidR="006E3FC4">
              <w:t xml:space="preserve"> </w:t>
            </w:r>
            <w:r w:rsidR="00266658">
              <w:t>as the Doug Pitcock Aggie Expressway, in honor of this man</w:t>
            </w:r>
            <w:r w:rsidRPr="00B64CA9">
              <w:t xml:space="preserve"> who helped build so many miles of </w:t>
            </w:r>
            <w:r w:rsidR="00266658">
              <w:t xml:space="preserve">the state's </w:t>
            </w:r>
            <w:r w:rsidRPr="00B64CA9">
              <w:t xml:space="preserve">roadways. </w:t>
            </w:r>
          </w:p>
          <w:p w14:paraId="212B5A3A" w14:textId="77777777" w:rsidR="008423E4" w:rsidRPr="00E26B13" w:rsidRDefault="008423E4" w:rsidP="004E2C43">
            <w:pPr>
              <w:rPr>
                <w:b/>
              </w:rPr>
            </w:pPr>
          </w:p>
        </w:tc>
      </w:tr>
      <w:tr w:rsidR="00036B54" w14:paraId="03CE7B6B" w14:textId="77777777" w:rsidTr="00345119">
        <w:tc>
          <w:tcPr>
            <w:tcW w:w="9576" w:type="dxa"/>
          </w:tcPr>
          <w:p w14:paraId="538AEFE4" w14:textId="77777777" w:rsidR="0017725B" w:rsidRDefault="00EA51DE" w:rsidP="004E2C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421D246" w14:textId="77777777" w:rsidR="0017725B" w:rsidRDefault="0017725B" w:rsidP="004E2C43">
            <w:pPr>
              <w:rPr>
                <w:b/>
                <w:u w:val="single"/>
              </w:rPr>
            </w:pPr>
          </w:p>
          <w:p w14:paraId="24F9F97B" w14:textId="24E4A3D3" w:rsidR="00AD0BD7" w:rsidRPr="00AD0BD7" w:rsidRDefault="00EA51DE" w:rsidP="004E2C43">
            <w:pPr>
              <w:jc w:val="both"/>
            </w:pPr>
            <w:r>
              <w:t xml:space="preserve">It is the committee's opinion that this bill </w:t>
            </w:r>
            <w:r>
              <w:t>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C675902" w14:textId="77777777" w:rsidR="0017725B" w:rsidRPr="0017725B" w:rsidRDefault="0017725B" w:rsidP="004E2C43">
            <w:pPr>
              <w:rPr>
                <w:b/>
                <w:u w:val="single"/>
              </w:rPr>
            </w:pPr>
          </w:p>
        </w:tc>
      </w:tr>
      <w:tr w:rsidR="00036B54" w14:paraId="430A102C" w14:textId="77777777" w:rsidTr="00345119">
        <w:tc>
          <w:tcPr>
            <w:tcW w:w="9576" w:type="dxa"/>
          </w:tcPr>
          <w:p w14:paraId="23617B9C" w14:textId="77777777" w:rsidR="008423E4" w:rsidRPr="00A8133F" w:rsidRDefault="00EA51DE" w:rsidP="004E2C4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DCFCAF0" w14:textId="77777777" w:rsidR="008423E4" w:rsidRDefault="008423E4" w:rsidP="004E2C43"/>
          <w:p w14:paraId="7573F578" w14:textId="7C9D014A" w:rsidR="00AD0BD7" w:rsidRDefault="00EA51DE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14FCD87E" w14:textId="77777777" w:rsidR="008423E4" w:rsidRPr="00E21FDC" w:rsidRDefault="008423E4" w:rsidP="004E2C43">
            <w:pPr>
              <w:rPr>
                <w:b/>
              </w:rPr>
            </w:pPr>
          </w:p>
        </w:tc>
      </w:tr>
      <w:tr w:rsidR="00036B54" w14:paraId="18796AC2" w14:textId="77777777" w:rsidTr="00345119">
        <w:tc>
          <w:tcPr>
            <w:tcW w:w="9576" w:type="dxa"/>
          </w:tcPr>
          <w:p w14:paraId="741B3CE0" w14:textId="77777777" w:rsidR="008423E4" w:rsidRPr="00A8133F" w:rsidRDefault="00EA51DE" w:rsidP="004E2C4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3FB55DC" w14:textId="77777777" w:rsidR="008423E4" w:rsidRDefault="008423E4" w:rsidP="004E2C43"/>
          <w:p w14:paraId="6C19B5C1" w14:textId="384199C0" w:rsidR="009C36CD" w:rsidRDefault="00EA51DE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3034 amends the Transportation Code to designate the portion of </w:t>
            </w:r>
            <w:r w:rsidRPr="00AD0BD7">
              <w:t>State Highway 249 in Grimes and Montgomery Counties between its intersection with State Highway 105 and its southern intersection with Farm-to-Market Road 1774 as the Doug Pitcock Aggie Expressway</w:t>
            </w:r>
            <w:r>
              <w:t>, in addition to any other designation. The bill requires the Texas Department of Transportation, subject to a grant or donation of funds, to do the following:</w:t>
            </w:r>
          </w:p>
          <w:p w14:paraId="624E8E28" w14:textId="2A7418D8" w:rsidR="00AD0BD7" w:rsidRDefault="00EA51DE" w:rsidP="004E2C43">
            <w:pPr>
              <w:pStyle w:val="Header"/>
              <w:numPr>
                <w:ilvl w:val="0"/>
                <w:numId w:val="1"/>
              </w:numPr>
              <w:jc w:val="both"/>
            </w:pPr>
            <w:r>
              <w:t>design and construct markers indicating the designation as the Doug Pitcock Aggie Expressway and any other appropriate information; and</w:t>
            </w:r>
          </w:p>
          <w:p w14:paraId="5AB209E2" w14:textId="4F6F59A0" w:rsidR="00AD0BD7" w:rsidRDefault="00EA51DE" w:rsidP="004E2C4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erect a marker at each end of the highway and at appropriate intermediate sites along the highway.</w:t>
            </w:r>
          </w:p>
          <w:p w14:paraId="107FFFCF" w14:textId="77777777" w:rsidR="00AD0BD7" w:rsidRDefault="00AD0BD7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61C4B3B4" w14:textId="2FE94173" w:rsidR="00AD0BD7" w:rsidRPr="009C36CD" w:rsidRDefault="00EA51DE" w:rsidP="004E2C4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3034 establishes that it is the intent of the </w:t>
            </w:r>
            <w:r w:rsidRPr="00AD0BD7">
              <w:t>89th Legislature, Regular Session, 2025, that the provisions added by th</w:t>
            </w:r>
            <w:r>
              <w:t xml:space="preserve">e bill </w:t>
            </w:r>
            <w:r w:rsidRPr="00AD0BD7">
              <w:t>be renumbered to prevent multiple provisions with the same designation.</w:t>
            </w:r>
          </w:p>
          <w:p w14:paraId="315EAF57" w14:textId="77777777" w:rsidR="008423E4" w:rsidRPr="00835628" w:rsidRDefault="008423E4" w:rsidP="004E2C43">
            <w:pPr>
              <w:rPr>
                <w:b/>
              </w:rPr>
            </w:pPr>
          </w:p>
        </w:tc>
      </w:tr>
      <w:tr w:rsidR="00036B54" w14:paraId="0DF58F24" w14:textId="77777777" w:rsidTr="00345119">
        <w:tc>
          <w:tcPr>
            <w:tcW w:w="9576" w:type="dxa"/>
          </w:tcPr>
          <w:p w14:paraId="05015944" w14:textId="77777777" w:rsidR="008423E4" w:rsidRPr="00A8133F" w:rsidRDefault="00EA51DE" w:rsidP="00730FED">
            <w:pPr>
              <w:keepNext/>
              <w:keepLines/>
              <w:widowControl w:val="0"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FCA2F71" w14:textId="77777777" w:rsidR="008423E4" w:rsidRDefault="008423E4" w:rsidP="00730FED">
            <w:pPr>
              <w:keepNext/>
              <w:keepLines/>
              <w:widowControl w:val="0"/>
            </w:pPr>
          </w:p>
          <w:p w14:paraId="2A8ABC32" w14:textId="6E484045" w:rsidR="008423E4" w:rsidRPr="003624F2" w:rsidRDefault="00EA51DE" w:rsidP="00730FED">
            <w:pPr>
              <w:pStyle w:val="Header"/>
              <w:keepNext/>
              <w:keepLines/>
              <w:widowControl w:val="0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762A235" w14:textId="77777777" w:rsidR="008423E4" w:rsidRPr="00233FDB" w:rsidRDefault="008423E4" w:rsidP="004E2C43">
            <w:pPr>
              <w:rPr>
                <w:b/>
              </w:rPr>
            </w:pPr>
          </w:p>
        </w:tc>
      </w:tr>
    </w:tbl>
    <w:p w14:paraId="20812149" w14:textId="77777777" w:rsidR="008423E4" w:rsidRPr="00BE0E75" w:rsidRDefault="008423E4" w:rsidP="004E2C43">
      <w:pPr>
        <w:jc w:val="both"/>
        <w:rPr>
          <w:rFonts w:ascii="Arial" w:hAnsi="Arial"/>
          <w:sz w:val="16"/>
          <w:szCs w:val="16"/>
        </w:rPr>
      </w:pPr>
    </w:p>
    <w:p w14:paraId="14E6B2C2" w14:textId="77777777" w:rsidR="004108C3" w:rsidRPr="008423E4" w:rsidRDefault="004108C3" w:rsidP="004E2C4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C448" w14:textId="77777777" w:rsidR="00EA51DE" w:rsidRDefault="00EA51DE">
      <w:r>
        <w:separator/>
      </w:r>
    </w:p>
  </w:endnote>
  <w:endnote w:type="continuationSeparator" w:id="0">
    <w:p w14:paraId="746CEAA8" w14:textId="77777777" w:rsidR="00EA51DE" w:rsidRDefault="00E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B7AC" w14:textId="77777777" w:rsidR="00A4527C" w:rsidRDefault="00A45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36B54" w14:paraId="1730D598" w14:textId="77777777" w:rsidTr="009C1E9A">
      <w:trPr>
        <w:cantSplit/>
      </w:trPr>
      <w:tc>
        <w:tcPr>
          <w:tcW w:w="0" w:type="pct"/>
        </w:tcPr>
        <w:p w14:paraId="207D3E0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FC232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81AC73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65910B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1E271B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6B54" w14:paraId="3C67F5AC" w14:textId="77777777" w:rsidTr="009C1E9A">
      <w:trPr>
        <w:cantSplit/>
      </w:trPr>
      <w:tc>
        <w:tcPr>
          <w:tcW w:w="0" w:type="pct"/>
        </w:tcPr>
        <w:p w14:paraId="477EDB8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8B94D98" w14:textId="6B5FEAEC" w:rsidR="00EC379B" w:rsidRPr="009C1E9A" w:rsidRDefault="00EA51D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30875-D</w:t>
          </w:r>
        </w:p>
      </w:tc>
      <w:tc>
        <w:tcPr>
          <w:tcW w:w="2453" w:type="pct"/>
        </w:tcPr>
        <w:p w14:paraId="27E2A1DA" w14:textId="713191F3" w:rsidR="00EC379B" w:rsidRDefault="00EA51D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96C7D">
            <w:t>25.134.771</w:t>
          </w:r>
          <w:r>
            <w:fldChar w:fldCharType="end"/>
          </w:r>
        </w:p>
      </w:tc>
    </w:tr>
    <w:tr w:rsidR="00036B54" w14:paraId="2C5953C7" w14:textId="77777777" w:rsidTr="009C1E9A">
      <w:trPr>
        <w:cantSplit/>
      </w:trPr>
      <w:tc>
        <w:tcPr>
          <w:tcW w:w="0" w:type="pct"/>
        </w:tcPr>
        <w:p w14:paraId="7B489A4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B538AFB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F079C5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204C7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36B54" w14:paraId="456C878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9EFB1A3" w14:textId="77777777" w:rsidR="00EC379B" w:rsidRDefault="00EA51D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B7EAAD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F97C09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98E7" w14:textId="77777777" w:rsidR="00A4527C" w:rsidRDefault="00A45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4694" w14:textId="77777777" w:rsidR="00EA51DE" w:rsidRDefault="00EA51DE">
      <w:r>
        <w:separator/>
      </w:r>
    </w:p>
  </w:footnote>
  <w:footnote w:type="continuationSeparator" w:id="0">
    <w:p w14:paraId="0C9CB319" w14:textId="77777777" w:rsidR="00EA51DE" w:rsidRDefault="00EA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60BD" w14:textId="77777777" w:rsidR="00A4527C" w:rsidRDefault="00A45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DDB9" w14:textId="77777777" w:rsidR="00A4527C" w:rsidRDefault="00A45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64A0" w14:textId="77777777" w:rsidR="00A4527C" w:rsidRDefault="00A45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E97"/>
    <w:multiLevelType w:val="hybridMultilevel"/>
    <w:tmpl w:val="4192D38C"/>
    <w:lvl w:ilvl="0" w:tplc="29E24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C5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26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F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60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B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2B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C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68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24DF3"/>
    <w:multiLevelType w:val="hybridMultilevel"/>
    <w:tmpl w:val="1FBA7FFE"/>
    <w:lvl w:ilvl="0" w:tplc="300CA456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1F381100" w:tentative="1">
      <w:start w:val="1"/>
      <w:numFmt w:val="lowerLetter"/>
      <w:lvlText w:val="%2."/>
      <w:lvlJc w:val="left"/>
      <w:pPr>
        <w:ind w:left="1440" w:hanging="360"/>
      </w:pPr>
    </w:lvl>
    <w:lvl w:ilvl="2" w:tplc="A3F21F2E" w:tentative="1">
      <w:start w:val="1"/>
      <w:numFmt w:val="lowerRoman"/>
      <w:lvlText w:val="%3."/>
      <w:lvlJc w:val="right"/>
      <w:pPr>
        <w:ind w:left="2160" w:hanging="180"/>
      </w:pPr>
    </w:lvl>
    <w:lvl w:ilvl="3" w:tplc="8DA45B0C" w:tentative="1">
      <w:start w:val="1"/>
      <w:numFmt w:val="decimal"/>
      <w:lvlText w:val="%4."/>
      <w:lvlJc w:val="left"/>
      <w:pPr>
        <w:ind w:left="2880" w:hanging="360"/>
      </w:pPr>
    </w:lvl>
    <w:lvl w:ilvl="4" w:tplc="647083BE" w:tentative="1">
      <w:start w:val="1"/>
      <w:numFmt w:val="lowerLetter"/>
      <w:lvlText w:val="%5."/>
      <w:lvlJc w:val="left"/>
      <w:pPr>
        <w:ind w:left="3600" w:hanging="360"/>
      </w:pPr>
    </w:lvl>
    <w:lvl w:ilvl="5" w:tplc="B6881ECE" w:tentative="1">
      <w:start w:val="1"/>
      <w:numFmt w:val="lowerRoman"/>
      <w:lvlText w:val="%6."/>
      <w:lvlJc w:val="right"/>
      <w:pPr>
        <w:ind w:left="4320" w:hanging="180"/>
      </w:pPr>
    </w:lvl>
    <w:lvl w:ilvl="6" w:tplc="046AB78C" w:tentative="1">
      <w:start w:val="1"/>
      <w:numFmt w:val="decimal"/>
      <w:lvlText w:val="%7."/>
      <w:lvlJc w:val="left"/>
      <w:pPr>
        <w:ind w:left="5040" w:hanging="360"/>
      </w:pPr>
    </w:lvl>
    <w:lvl w:ilvl="7" w:tplc="0CFA1AF6" w:tentative="1">
      <w:start w:val="1"/>
      <w:numFmt w:val="lowerLetter"/>
      <w:lvlText w:val="%8."/>
      <w:lvlJc w:val="left"/>
      <w:pPr>
        <w:ind w:left="5760" w:hanging="360"/>
      </w:pPr>
    </w:lvl>
    <w:lvl w:ilvl="8" w:tplc="C98450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61585">
    <w:abstractNumId w:val="0"/>
  </w:num>
  <w:num w:numId="2" w16cid:durableId="143971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D7"/>
    <w:rsid w:val="00000A70"/>
    <w:rsid w:val="000032B8"/>
    <w:rsid w:val="00003B06"/>
    <w:rsid w:val="000054B9"/>
    <w:rsid w:val="00007461"/>
    <w:rsid w:val="0001117E"/>
    <w:rsid w:val="0001125F"/>
    <w:rsid w:val="00012B92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6B54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7AE"/>
    <w:rsid w:val="002338DA"/>
    <w:rsid w:val="00233BA8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6658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C7D"/>
    <w:rsid w:val="00296FF0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5908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50DB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2C43"/>
    <w:rsid w:val="004E3096"/>
    <w:rsid w:val="004E47F2"/>
    <w:rsid w:val="004E4E2B"/>
    <w:rsid w:val="004E5D4F"/>
    <w:rsid w:val="004E5DEA"/>
    <w:rsid w:val="004E6639"/>
    <w:rsid w:val="004E6BAE"/>
    <w:rsid w:val="004F32AD"/>
    <w:rsid w:val="004F5700"/>
    <w:rsid w:val="004F57CB"/>
    <w:rsid w:val="004F64F6"/>
    <w:rsid w:val="004F69C0"/>
    <w:rsid w:val="004F75F1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3EF3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3FC4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0FED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278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18C5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54E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527C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0BD7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4CA9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1CB2"/>
    <w:rsid w:val="00CA2182"/>
    <w:rsid w:val="00CA2186"/>
    <w:rsid w:val="00CA26EF"/>
    <w:rsid w:val="00CA3608"/>
    <w:rsid w:val="00CA4CA0"/>
    <w:rsid w:val="00CA5E5E"/>
    <w:rsid w:val="00CA78FA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939"/>
    <w:rsid w:val="00D66BA6"/>
    <w:rsid w:val="00D6790F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927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51DE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303D"/>
    <w:rsid w:val="00F93752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5929E-EDA6-42C3-BFA0-297D3D7A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D0B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0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B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BD7"/>
    <w:rPr>
      <w:b/>
      <w:bCs/>
    </w:rPr>
  </w:style>
  <w:style w:type="paragraph" w:styleId="Revision">
    <w:name w:val="Revision"/>
    <w:hidden/>
    <w:uiPriority w:val="99"/>
    <w:semiHidden/>
    <w:rsid w:val="00B64CA9"/>
    <w:rPr>
      <w:sz w:val="24"/>
      <w:szCs w:val="24"/>
    </w:rPr>
  </w:style>
  <w:style w:type="character" w:styleId="Hyperlink">
    <w:name w:val="Hyperlink"/>
    <w:basedOn w:val="DefaultParagraphFont"/>
    <w:unhideWhenUsed/>
    <w:rsid w:val="006E3F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2117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SB03034 (Committee Report (Unamended))</vt:lpstr>
    </vt:vector>
  </TitlesOfParts>
  <Company>State of Texas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30875</dc:subject>
  <dc:creator>State of Texas</dc:creator>
  <dc:description>SB 3034 by Bettencourt-(H)Transportation</dc:description>
  <cp:lastModifiedBy>Damian Duarte</cp:lastModifiedBy>
  <cp:revision>2</cp:revision>
  <cp:lastPrinted>2003-11-26T17:21:00Z</cp:lastPrinted>
  <dcterms:created xsi:type="dcterms:W3CDTF">2025-05-16T21:25:00Z</dcterms:created>
  <dcterms:modified xsi:type="dcterms:W3CDTF">2025-05-16T21:25:00Z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25.134.771</vt:lpwstr>
  </property>
</Properties>
</file>