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B36" w:rsidRDefault="00FA3B36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16F835F8A1D4489F934779C841F78A0C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FA3B36" w:rsidRPr="00585C31" w:rsidRDefault="00FA3B36" w:rsidP="000F1DF9">
      <w:pPr>
        <w:spacing w:after="0" w:line="240" w:lineRule="auto"/>
        <w:rPr>
          <w:rFonts w:cs="Times New Roman"/>
          <w:szCs w:val="24"/>
        </w:rPr>
      </w:pPr>
    </w:p>
    <w:p w:rsidR="00FA3B36" w:rsidRPr="00585C31" w:rsidRDefault="00FA3B36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FA3B36" w:rsidTr="000F1DF9">
        <w:tc>
          <w:tcPr>
            <w:tcW w:w="2718" w:type="dxa"/>
          </w:tcPr>
          <w:p w:rsidR="00FA3B36" w:rsidRPr="005C2A78" w:rsidRDefault="00FA3B36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B2E171D550A840398D6A0D2D17DCC80A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FA3B36" w:rsidRPr="00FF6471" w:rsidRDefault="00FA3B36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0958864046BB4A39820F2E958EF24F86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S.J.R. 18</w:t>
                </w:r>
              </w:sdtContent>
            </w:sdt>
          </w:p>
        </w:tc>
      </w:tr>
      <w:tr w:rsidR="00FA3B36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82183D272056423E88DDBE7EC56D86E4"/>
            </w:placeholder>
            <w:showingPlcHdr/>
          </w:sdtPr>
          <w:sdtContent>
            <w:tc>
              <w:tcPr>
                <w:tcW w:w="2718" w:type="dxa"/>
              </w:tcPr>
              <w:p w:rsidR="00FA3B36" w:rsidRPr="000F1DF9" w:rsidRDefault="00FA3B36" w:rsidP="00C65088">
                <w:pPr>
                  <w:rPr>
                    <w:rFonts w:cs="Times New Roman"/>
                    <w:szCs w:val="24"/>
                  </w:rPr>
                </w:pPr>
              </w:p>
            </w:tc>
          </w:sdtContent>
        </w:sdt>
        <w:tc>
          <w:tcPr>
            <w:tcW w:w="6858" w:type="dxa"/>
          </w:tcPr>
          <w:p w:rsidR="00FA3B36" w:rsidRPr="005C2A78" w:rsidRDefault="00FA3B36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61CD1EAFA59440EEB01BE5F823538031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85734D6868C0411FB382364DA6C0B0EC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Perry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FA7636EEEBE2425E88F403523695BE98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417D2E88F2E441FB805F8E1A7216D3AB"/>
                </w:placeholder>
                <w:showingPlcHdr/>
              </w:sdtPr>
              <w:sdtContent/>
            </w:sdt>
          </w:p>
        </w:tc>
      </w:tr>
      <w:tr w:rsidR="00FA3B36" w:rsidTr="000F1DF9">
        <w:tc>
          <w:tcPr>
            <w:tcW w:w="2718" w:type="dxa"/>
          </w:tcPr>
          <w:p w:rsidR="00FA3B36" w:rsidRPr="00BC7495" w:rsidRDefault="00FA3B36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22FAD5816C354B8CA701921028EDA1C1"/>
            </w:placeholder>
          </w:sdtPr>
          <w:sdtContent>
            <w:tc>
              <w:tcPr>
                <w:tcW w:w="6858" w:type="dxa"/>
              </w:tcPr>
              <w:p w:rsidR="00FA3B36" w:rsidRPr="00FF6471" w:rsidRDefault="00FA3B36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Finance</w:t>
                </w:r>
              </w:p>
            </w:tc>
          </w:sdtContent>
        </w:sdt>
      </w:tr>
      <w:tr w:rsidR="00FA3B36" w:rsidTr="000F1DF9">
        <w:tc>
          <w:tcPr>
            <w:tcW w:w="2718" w:type="dxa"/>
          </w:tcPr>
          <w:p w:rsidR="00FA3B36" w:rsidRPr="00BC7495" w:rsidRDefault="00FA3B36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6CB5E76FBA8C4AA592453A960AD0AB15"/>
            </w:placeholder>
            <w:date w:fullDate="2025-06-0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FA3B36" w:rsidRPr="00FF6471" w:rsidRDefault="00FA3B36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6/6/2025</w:t>
                </w:r>
              </w:p>
            </w:tc>
          </w:sdtContent>
        </w:sdt>
      </w:tr>
      <w:tr w:rsidR="00FA3B36" w:rsidTr="000F1DF9">
        <w:tc>
          <w:tcPr>
            <w:tcW w:w="2718" w:type="dxa"/>
          </w:tcPr>
          <w:p w:rsidR="00FA3B36" w:rsidRPr="00BC7495" w:rsidRDefault="00FA3B36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B245BD6BA838412E8523FAA07B4AEF71"/>
            </w:placeholder>
          </w:sdtPr>
          <w:sdtContent>
            <w:tc>
              <w:tcPr>
                <w:tcW w:w="6858" w:type="dxa"/>
              </w:tcPr>
              <w:p w:rsidR="00FA3B36" w:rsidRPr="00FF6471" w:rsidRDefault="00FA3B36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Enrolled</w:t>
                </w:r>
              </w:p>
            </w:tc>
          </w:sdtContent>
        </w:sdt>
      </w:tr>
    </w:tbl>
    <w:p w:rsidR="00FA3B36" w:rsidRPr="00FF6471" w:rsidRDefault="00FA3B36" w:rsidP="000F1DF9">
      <w:pPr>
        <w:spacing w:after="0" w:line="240" w:lineRule="auto"/>
        <w:rPr>
          <w:rFonts w:cs="Times New Roman"/>
          <w:szCs w:val="24"/>
        </w:rPr>
      </w:pPr>
    </w:p>
    <w:p w:rsidR="00FA3B36" w:rsidRPr="00FF6471" w:rsidRDefault="00FA3B36" w:rsidP="000F1DF9">
      <w:pPr>
        <w:spacing w:after="0" w:line="240" w:lineRule="auto"/>
        <w:rPr>
          <w:rFonts w:cs="Times New Roman"/>
          <w:szCs w:val="24"/>
        </w:rPr>
      </w:pPr>
    </w:p>
    <w:p w:rsidR="00FA3B36" w:rsidRPr="00FF6471" w:rsidRDefault="00FA3B36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88766DCF2A704560814AB92197047682"/>
        </w:placeholder>
      </w:sdtPr>
      <w:sdtContent>
        <w:p w:rsidR="00FA3B36" w:rsidRDefault="00FA3B36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/>
          <w:bCs/>
        </w:rPr>
        <w:alias w:val="Background and Purpose"/>
        <w:tag w:val="BackgroundandPurposeContentControl"/>
        <w:id w:val="-1903514545"/>
        <w:lock w:val="sdtContentLocked"/>
        <w:placeholder>
          <w:docPart w:val="293057A796534992BB4B130AFF0BD027"/>
        </w:placeholder>
      </w:sdtPr>
      <w:sdtContent>
        <w:p w:rsidR="00FA3B36" w:rsidRDefault="00FA3B36" w:rsidP="00FA3B36">
          <w:pPr>
            <w:pStyle w:val="NormalWeb"/>
            <w:spacing w:before="0" w:beforeAutospacing="0" w:after="0" w:afterAutospacing="0"/>
            <w:jc w:val="both"/>
            <w:divId w:val="271597483"/>
            <w:rPr>
              <w:rFonts w:eastAsia="Times New Roman"/>
              <w:bCs/>
            </w:rPr>
          </w:pPr>
        </w:p>
        <w:p w:rsidR="00FA3B36" w:rsidRDefault="00FA3B36" w:rsidP="00FA3B36">
          <w:pPr>
            <w:pStyle w:val="NormalWeb"/>
            <w:spacing w:before="0" w:beforeAutospacing="0" w:after="0" w:afterAutospacing="0"/>
            <w:jc w:val="both"/>
            <w:divId w:val="271597483"/>
            <w:rPr>
              <w:color w:val="000000"/>
            </w:rPr>
          </w:pPr>
          <w:r>
            <w:rPr>
              <w:color w:val="000000"/>
            </w:rPr>
            <w:t>Currently, several states do not have a state income tax, including Texas. Although state law in the State of Washington prohibits the state from adopting an income tax, the Washington Legislature successfully enacted a capital gains tax that has survived court challenges.</w:t>
          </w:r>
        </w:p>
        <w:p w:rsidR="00FA3B36" w:rsidRDefault="00FA3B36" w:rsidP="00FA3B36">
          <w:pPr>
            <w:pStyle w:val="NormalWeb"/>
            <w:spacing w:before="0" w:beforeAutospacing="0" w:after="0" w:afterAutospacing="0"/>
            <w:jc w:val="both"/>
            <w:divId w:val="271597483"/>
            <w:rPr>
              <w:color w:val="000000"/>
            </w:rPr>
          </w:pPr>
        </w:p>
        <w:p w:rsidR="00FA3B36" w:rsidRDefault="00FA3B36" w:rsidP="00FA3B36">
          <w:pPr>
            <w:pStyle w:val="NormalWeb"/>
            <w:spacing w:before="0" w:beforeAutospacing="0" w:after="0" w:afterAutospacing="0"/>
            <w:jc w:val="both"/>
            <w:divId w:val="271597483"/>
            <w:rPr>
              <w:color w:val="000000"/>
            </w:rPr>
          </w:pPr>
          <w:r>
            <w:rPr>
              <w:color w:val="000000"/>
            </w:rPr>
            <w:t>Many Texans were previously reassured that Texas would not be able to enact a capital gains tax because the state has a constitutional amendment barring the establishment of an income tax.</w:t>
          </w:r>
        </w:p>
        <w:p w:rsidR="00FA3B36" w:rsidRDefault="00FA3B36" w:rsidP="00FA3B36">
          <w:pPr>
            <w:pStyle w:val="NormalWeb"/>
            <w:spacing w:before="0" w:beforeAutospacing="0" w:after="0" w:afterAutospacing="0"/>
            <w:jc w:val="both"/>
            <w:divId w:val="271597483"/>
            <w:rPr>
              <w:color w:val="000000"/>
            </w:rPr>
          </w:pPr>
        </w:p>
        <w:p w:rsidR="00FA3B36" w:rsidRDefault="00FA3B36" w:rsidP="00FA3B36">
          <w:pPr>
            <w:pStyle w:val="NormalWeb"/>
            <w:spacing w:before="0" w:beforeAutospacing="0" w:after="0" w:afterAutospacing="0"/>
            <w:jc w:val="both"/>
            <w:divId w:val="271597483"/>
            <w:rPr>
              <w:color w:val="000000"/>
            </w:rPr>
          </w:pPr>
          <w:r>
            <w:rPr>
              <w:color w:val="000000"/>
            </w:rPr>
            <w:t>However, after this recent development in the State of Washington and discussions in Congress about taxing unrealized capital gains, many Texans are concerned that a future legislature could enact a capital gains tax.</w:t>
          </w:r>
        </w:p>
        <w:p w:rsidR="00FA3B36" w:rsidRDefault="00FA3B36" w:rsidP="00FA3B36">
          <w:pPr>
            <w:pStyle w:val="NormalWeb"/>
            <w:spacing w:before="0" w:beforeAutospacing="0" w:after="0" w:afterAutospacing="0"/>
            <w:jc w:val="both"/>
            <w:divId w:val="271597483"/>
            <w:rPr>
              <w:color w:val="000000"/>
            </w:rPr>
          </w:pPr>
        </w:p>
        <w:p w:rsidR="00FA3B36" w:rsidRDefault="00FA3B36" w:rsidP="00FA3B36">
          <w:pPr>
            <w:pStyle w:val="NormalWeb"/>
            <w:spacing w:before="0" w:beforeAutospacing="0" w:after="0" w:afterAutospacing="0"/>
            <w:jc w:val="both"/>
            <w:divId w:val="271597483"/>
            <w:rPr>
              <w:color w:val="000000"/>
            </w:rPr>
          </w:pPr>
          <w:r>
            <w:rPr>
              <w:color w:val="000000"/>
            </w:rPr>
            <w:t>This constitutional amendment would prohibit Texas from ever enacting a capital gains tax on realized or unrealized capital gains of an individual, family, estate, or trust. This amendment will ensure Texas remains a tax friendly state.</w:t>
          </w:r>
        </w:p>
        <w:p w:rsidR="00FA3B36" w:rsidRDefault="00FA3B36" w:rsidP="00FA3B36">
          <w:pPr>
            <w:pStyle w:val="NormalWeb"/>
            <w:spacing w:before="0" w:beforeAutospacing="0" w:after="0" w:afterAutospacing="0"/>
            <w:jc w:val="both"/>
            <w:divId w:val="271597483"/>
            <w:rPr>
              <w:color w:val="000000"/>
            </w:rPr>
          </w:pPr>
        </w:p>
        <w:p w:rsidR="00FA3B36" w:rsidRPr="00551AC8" w:rsidRDefault="00FA3B36" w:rsidP="00FA3B36">
          <w:pPr>
            <w:pStyle w:val="NormalWeb"/>
            <w:spacing w:before="0" w:beforeAutospacing="0" w:after="0" w:afterAutospacing="0"/>
            <w:jc w:val="both"/>
            <w:divId w:val="271597483"/>
          </w:pPr>
          <w:r w:rsidRPr="00551AC8">
            <w:t>S.J.R. 18 proposes a constitutional amendment prohibiting the imposition of a tax on the realized or unrealized capital gains of an individual, family, estate, or trust.  </w:t>
          </w:r>
        </w:p>
      </w:sdtContent>
    </w:sdt>
    <w:p w:rsidR="00FA3B36" w:rsidRPr="00551AC8" w:rsidRDefault="00FA3B36" w:rsidP="00FA3B36">
      <w:pPr>
        <w:spacing w:after="0" w:line="240" w:lineRule="auto"/>
        <w:jc w:val="both"/>
        <w:rPr>
          <w:rFonts w:eastAsia="Times New Roman" w:cs="Times New Roman"/>
          <w:szCs w:val="24"/>
        </w:rPr>
      </w:pPr>
      <w:bookmarkStart w:id="0" w:name="EnrolledProposed"/>
      <w:bookmarkStart w:id="1" w:name="AmendsCurrentLaw"/>
      <w:bookmarkEnd w:id="0"/>
      <w:bookmarkEnd w:id="1"/>
    </w:p>
    <w:p w:rsidR="00FA3B36" w:rsidRPr="00551AC8" w:rsidRDefault="00FA3B36" w:rsidP="00FA3B36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7A4DDE015BAA488796BD5550DC89FAAB"/>
          </w:placeholder>
        </w:sdtPr>
        <w:sdtContent>
          <w:r w:rsidRPr="00551AC8"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FA3B36" w:rsidRPr="00551AC8" w:rsidRDefault="00FA3B36" w:rsidP="00FA3B36">
      <w:pPr>
        <w:spacing w:after="0" w:line="240" w:lineRule="auto"/>
        <w:jc w:val="both"/>
        <w:rPr>
          <w:rFonts w:cs="Times New Roman"/>
          <w:szCs w:val="24"/>
        </w:rPr>
      </w:pPr>
    </w:p>
    <w:p w:rsidR="00FA3B36" w:rsidRPr="00551AC8" w:rsidRDefault="00FA3B36" w:rsidP="00FA3B36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551AC8">
        <w:rPr>
          <w:rFonts w:eastAsia="Times New Roman" w:cs="Times New Roman"/>
          <w:color w:val="000000"/>
          <w:szCs w:val="24"/>
        </w:rPr>
        <w:t>This bill does not expressly grant any additional rulemaking authority to a state officer, institution, or agency.</w:t>
      </w:r>
    </w:p>
    <w:p w:rsidR="00FA3B36" w:rsidRPr="00551AC8" w:rsidRDefault="00FA3B36" w:rsidP="00FA3B36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551AC8">
        <w:rPr>
          <w:rFonts w:eastAsia="Times New Roman" w:cs="Times New Roman"/>
          <w:color w:val="000000"/>
          <w:szCs w:val="24"/>
        </w:rPr>
        <w:t> </w:t>
      </w:r>
    </w:p>
    <w:p w:rsidR="00FA3B36" w:rsidRPr="00551AC8" w:rsidRDefault="00FA3B36" w:rsidP="00FA3B36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551AC8">
        <w:rPr>
          <w:rFonts w:eastAsia="Times New Roman" w:cs="Times New Roman"/>
          <w:b/>
          <w:bCs/>
          <w:color w:val="000000"/>
          <w:szCs w:val="24"/>
          <w:u w:val="single"/>
        </w:rPr>
        <w:t>SECTION BY SECTION ANALYSIS</w:t>
      </w:r>
    </w:p>
    <w:p w:rsidR="00FA3B36" w:rsidRPr="00551AC8" w:rsidRDefault="00FA3B36" w:rsidP="00FA3B36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551AC8">
        <w:rPr>
          <w:rFonts w:eastAsia="Times New Roman" w:cs="Times New Roman"/>
          <w:color w:val="000000"/>
          <w:szCs w:val="24"/>
        </w:rPr>
        <w:t> </w:t>
      </w:r>
    </w:p>
    <w:p w:rsidR="00FA3B36" w:rsidRPr="00551AC8" w:rsidRDefault="00FA3B36" w:rsidP="00FA3B36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551AC8">
        <w:rPr>
          <w:rFonts w:eastAsia="Times New Roman" w:cs="Times New Roman"/>
          <w:color w:val="000000"/>
          <w:szCs w:val="24"/>
        </w:rPr>
        <w:t>SECTION 1. Amends Article VIII, Texas Constitution, by adding Section 24-b, as follows:</w:t>
      </w:r>
    </w:p>
    <w:p w:rsidR="00FA3B36" w:rsidRPr="00551AC8" w:rsidRDefault="00FA3B36" w:rsidP="00FA3B36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551AC8">
        <w:rPr>
          <w:rFonts w:eastAsia="Times New Roman" w:cs="Times New Roman"/>
          <w:color w:val="000000"/>
          <w:szCs w:val="24"/>
        </w:rPr>
        <w:t> </w:t>
      </w:r>
    </w:p>
    <w:p w:rsidR="00FA3B36" w:rsidRPr="00551AC8" w:rsidRDefault="00FA3B36" w:rsidP="00FA3B36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Cs w:val="24"/>
        </w:rPr>
      </w:pPr>
      <w:r w:rsidRPr="00551AC8">
        <w:rPr>
          <w:rFonts w:eastAsia="Times New Roman" w:cs="Times New Roman"/>
          <w:color w:val="000000"/>
          <w:szCs w:val="24"/>
        </w:rPr>
        <w:t>Sec. 24-b. (a) Prohibits the legislature, subject to Subsection (b) of this section, from imposing a tax on the realized or unrealized capital gains of an individual, family, estate, or trust, including a tax on the sale or transfer of a capital asset that is payable by the individual, family, estate, or trust selling or transferring the asset.</w:t>
      </w:r>
    </w:p>
    <w:p w:rsidR="00FA3B36" w:rsidRPr="00551AC8" w:rsidRDefault="00FA3B36" w:rsidP="00FA3B36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551AC8">
        <w:rPr>
          <w:rFonts w:eastAsia="Times New Roman" w:cs="Times New Roman"/>
          <w:color w:val="000000"/>
          <w:szCs w:val="24"/>
        </w:rPr>
        <w:t> </w:t>
      </w:r>
    </w:p>
    <w:p w:rsidR="00FA3B36" w:rsidRPr="00551AC8" w:rsidRDefault="00FA3B36" w:rsidP="00FA3B36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Cs w:val="24"/>
        </w:rPr>
      </w:pPr>
      <w:r w:rsidRPr="00551AC8">
        <w:rPr>
          <w:rFonts w:eastAsia="Times New Roman" w:cs="Times New Roman"/>
          <w:color w:val="000000"/>
          <w:szCs w:val="24"/>
        </w:rPr>
        <w:t>(b) Prohibits this section from being construed as</w:t>
      </w:r>
      <w:r>
        <w:rPr>
          <w:rFonts w:eastAsia="Times New Roman" w:cs="Times New Roman"/>
          <w:color w:val="000000"/>
          <w:szCs w:val="24"/>
        </w:rPr>
        <w:t xml:space="preserve"> modifying the applicability or </w:t>
      </w:r>
      <w:r w:rsidRPr="00551AC8">
        <w:rPr>
          <w:rFonts w:eastAsia="Times New Roman" w:cs="Times New Roman"/>
          <w:color w:val="000000"/>
          <w:szCs w:val="24"/>
        </w:rPr>
        <w:t xml:space="preserve">prohibiting the imposition </w:t>
      </w:r>
      <w:r>
        <w:rPr>
          <w:rFonts w:eastAsia="Times New Roman" w:cs="Times New Roman"/>
          <w:color w:val="000000"/>
          <w:szCs w:val="24"/>
        </w:rPr>
        <w:t xml:space="preserve">or change in the sale </w:t>
      </w:r>
      <w:r w:rsidRPr="00551AC8">
        <w:rPr>
          <w:rFonts w:eastAsia="Times New Roman" w:cs="Times New Roman"/>
          <w:color w:val="000000"/>
          <w:szCs w:val="24"/>
        </w:rPr>
        <w:t>of an ad valorem tax on property, a sales tax on the sale of goods or services, or a use tax on the storage, use, or other consumption in this state of goods or services.</w:t>
      </w:r>
    </w:p>
    <w:p w:rsidR="00FA3B36" w:rsidRPr="00551AC8" w:rsidRDefault="00FA3B36" w:rsidP="00FA3B36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551AC8">
        <w:rPr>
          <w:rFonts w:eastAsia="Times New Roman" w:cs="Times New Roman"/>
          <w:color w:val="000000"/>
          <w:szCs w:val="24"/>
        </w:rPr>
        <w:t> </w:t>
      </w:r>
    </w:p>
    <w:p w:rsidR="00FA3B36" w:rsidRPr="00551AC8" w:rsidRDefault="00FA3B36" w:rsidP="00FA3B36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551AC8">
        <w:rPr>
          <w:rFonts w:eastAsia="Times New Roman" w:cs="Times New Roman"/>
          <w:color w:val="000000"/>
          <w:szCs w:val="24"/>
        </w:rPr>
        <w:t>SECTION 2. Requires that the proposed constitutional amendment be submitted to the voters at an election to be held November 4, 2025. Sets forth the required language of the ballot.</w:t>
      </w:r>
    </w:p>
    <w:p w:rsidR="00FA3B36" w:rsidRPr="00C8671F" w:rsidRDefault="00FA3B36" w:rsidP="00FA3B3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sectPr w:rsidR="00FA3B36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70F6" w:rsidRDefault="00CB70F6" w:rsidP="000F1DF9">
      <w:pPr>
        <w:spacing w:after="0" w:line="240" w:lineRule="auto"/>
      </w:pPr>
      <w:r>
        <w:separator/>
      </w:r>
    </w:p>
  </w:endnote>
  <w:endnote w:type="continuationSeparator" w:id="0">
    <w:p w:rsidR="00CB70F6" w:rsidRDefault="00CB70F6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CB70F6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FA3B36">
                <w:rPr>
                  <w:sz w:val="20"/>
                  <w:szCs w:val="20"/>
                </w:rPr>
                <w:t>MLC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FA3B36">
                <w:rPr>
                  <w:sz w:val="20"/>
                  <w:szCs w:val="20"/>
                </w:rPr>
                <w:t>S.J.R. 18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FA3B36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CB70F6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70F6" w:rsidRDefault="00CB70F6" w:rsidP="000F1DF9">
      <w:pPr>
        <w:spacing w:after="0" w:line="240" w:lineRule="auto"/>
      </w:pPr>
      <w:r>
        <w:separator/>
      </w:r>
    </w:p>
  </w:footnote>
  <w:footnote w:type="continuationSeparator" w:id="0">
    <w:p w:rsidR="00CB70F6" w:rsidRDefault="00CB70F6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0840"/>
    <w:rsid w:val="000B4D64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B70F6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74F3E"/>
    <w:rsid w:val="00FA3B36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5A4E9"/>
  <w15:docId w15:val="{C4DCFCC8-EA27-46C8-A104-8DF3ED76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3B36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16F835F8A1D4489F934779C841F78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DC3C0-D1DE-45BB-8B63-E6CDD6B6A23B}"/>
      </w:docPartPr>
      <w:docPartBody>
        <w:p w:rsidR="00FA6540" w:rsidRDefault="00FA6540"/>
      </w:docPartBody>
    </w:docPart>
    <w:docPart>
      <w:docPartPr>
        <w:name w:val="B2E171D550A840398D6A0D2D17DCC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2A377-1CE8-4BDB-A451-030A221C4B0D}"/>
      </w:docPartPr>
      <w:docPartBody>
        <w:p w:rsidR="00FA6540" w:rsidRDefault="00FA6540"/>
      </w:docPartBody>
    </w:docPart>
    <w:docPart>
      <w:docPartPr>
        <w:name w:val="0958864046BB4A39820F2E958EF24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2D4D3-B5B3-4BC1-BD1D-CA943C5E86FD}"/>
      </w:docPartPr>
      <w:docPartBody>
        <w:p w:rsidR="00FA6540" w:rsidRDefault="00FA6540"/>
      </w:docPartBody>
    </w:docPart>
    <w:docPart>
      <w:docPartPr>
        <w:name w:val="82183D272056423E88DDBE7EC56D8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59D9D-DD54-427A-8ACB-9301BE8F4A05}"/>
      </w:docPartPr>
      <w:docPartBody>
        <w:p w:rsidR="00FA6540" w:rsidRDefault="00FA6540"/>
      </w:docPartBody>
    </w:docPart>
    <w:docPart>
      <w:docPartPr>
        <w:name w:val="61CD1EAFA59440EEB01BE5F823538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751E7-B7CF-4869-A34C-42F91CF1E4A1}"/>
      </w:docPartPr>
      <w:docPartBody>
        <w:p w:rsidR="00FA6540" w:rsidRDefault="00FA6540"/>
      </w:docPartBody>
    </w:docPart>
    <w:docPart>
      <w:docPartPr>
        <w:name w:val="85734D6868C0411FB382364DA6C0B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D64B9-685C-4C4F-BFB0-FA65732DCE72}"/>
      </w:docPartPr>
      <w:docPartBody>
        <w:p w:rsidR="00FA6540" w:rsidRDefault="00FA6540"/>
      </w:docPartBody>
    </w:docPart>
    <w:docPart>
      <w:docPartPr>
        <w:name w:val="FA7636EEEBE2425E88F403523695B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9482F-75C7-416A-BC7A-D31E1993BEA0}"/>
      </w:docPartPr>
      <w:docPartBody>
        <w:p w:rsidR="00FA6540" w:rsidRDefault="00FA6540"/>
      </w:docPartBody>
    </w:docPart>
    <w:docPart>
      <w:docPartPr>
        <w:name w:val="417D2E88F2E441FB805F8E1A7216D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ECF74-DA2F-404B-A7F9-C74371CE19A2}"/>
      </w:docPartPr>
      <w:docPartBody>
        <w:p w:rsidR="00FA6540" w:rsidRDefault="00FA6540"/>
      </w:docPartBody>
    </w:docPart>
    <w:docPart>
      <w:docPartPr>
        <w:name w:val="22FAD5816C354B8CA701921028EDA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57222-EB30-4FF9-B53B-F2FE443815C1}"/>
      </w:docPartPr>
      <w:docPartBody>
        <w:p w:rsidR="00FA6540" w:rsidRDefault="00FA6540"/>
      </w:docPartBody>
    </w:docPart>
    <w:docPart>
      <w:docPartPr>
        <w:name w:val="6CB5E76FBA8C4AA592453A960AD0A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99120-1BF3-43BE-86B0-5D30EB701225}"/>
      </w:docPartPr>
      <w:docPartBody>
        <w:p w:rsidR="00FA6540" w:rsidRDefault="007D4A90" w:rsidP="007D4A90">
          <w:pPr>
            <w:pStyle w:val="6CB5E76FBA8C4AA592453A960AD0AB15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B245BD6BA838412E8523FAA07B4AE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6B00A-7099-49FA-96E5-718843DB48C8}"/>
      </w:docPartPr>
      <w:docPartBody>
        <w:p w:rsidR="00FA6540" w:rsidRDefault="00FA6540"/>
      </w:docPartBody>
    </w:docPart>
    <w:docPart>
      <w:docPartPr>
        <w:name w:val="88766DCF2A704560814AB92197047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1EC2E-FF01-4A01-B245-2F8D8EA5F3E8}"/>
      </w:docPartPr>
      <w:docPartBody>
        <w:p w:rsidR="00FA6540" w:rsidRDefault="00FA6540"/>
      </w:docPartBody>
    </w:docPart>
    <w:docPart>
      <w:docPartPr>
        <w:name w:val="293057A796534992BB4B130AFF0BD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BBE18-208C-4718-9902-C0F372C2BA15}"/>
      </w:docPartPr>
      <w:docPartBody>
        <w:p w:rsidR="00FA6540" w:rsidRDefault="007D4A90" w:rsidP="007D4A90">
          <w:pPr>
            <w:pStyle w:val="293057A796534992BB4B130AFF0BD027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7A4DDE015BAA488796BD5550DC89F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76D75-5764-49CE-9340-4F4CC0C239EA}"/>
      </w:docPartPr>
      <w:docPartBody>
        <w:p w:rsidR="00FA6540" w:rsidRDefault="00FA65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0B0840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7D4A90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A6540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4A90"/>
    <w:rPr>
      <w:color w:val="808080"/>
    </w:rPr>
  </w:style>
  <w:style w:type="paragraph" w:customStyle="1" w:styleId="6CB5E76FBA8C4AA592453A960AD0AB15">
    <w:name w:val="6CB5E76FBA8C4AA592453A960AD0AB15"/>
    <w:rsid w:val="007D4A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3057A796534992BB4B130AFF0BD027">
    <w:name w:val="293057A796534992BB4B130AFF0BD027"/>
    <w:rsid w:val="007D4A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5873</TotalTime>
  <Pages>1</Pages>
  <Words>351</Words>
  <Characters>2006</Characters>
  <Application>Microsoft Office Word</Application>
  <DocSecurity>0</DocSecurity>
  <Lines>16</Lines>
  <Paragraphs>4</Paragraphs>
  <ScaleCrop>false</ScaleCrop>
  <Company>Texas Legislative Council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Maxwell Cioci</cp:lastModifiedBy>
  <cp:revision>161</cp:revision>
  <cp:lastPrinted>2025-06-06T16:27:00Z</cp:lastPrinted>
  <dcterms:created xsi:type="dcterms:W3CDTF">2015-05-29T14:24:00Z</dcterms:created>
  <dcterms:modified xsi:type="dcterms:W3CDTF">2025-06-06T19:45:00Z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