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89R3424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Applied Sciences Pathway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29.914.</w:t>
      </w:r>
      <w:r>
        <w:rPr>
          <w:u w:val="single"/>
        </w:rPr>
        <w:t xml:space="preserve"> </w:t>
      </w:r>
      <w:r>
        <w:rPr>
          <w:u w:val="single"/>
        </w:rPr>
        <w:t xml:space="preserve"> </w:t>
      </w:r>
      <w:r>
        <w:rPr>
          <w:u w:val="single"/>
        </w:rPr>
        <w:t xml:space="preserve">APPLIED SCIENCES PATHWAY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"Certificate program" and "institution of higher education" have the meanings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Applied Sciences Pathway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and administer the Applied Sciences Pathway program to provide opportunities for students to concurrently earn high school diplomas and certificates from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approve for participation in the program partnerships between school districts or open-enrollment charter schools and institutions of higher education to provide courses in a non-duplicative sequence of progressive achievement that lead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high school diploma;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completion of a certificate program with a successful job placement rate in high-wage, high-growth jobs in one of the following industries: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plumbing and pipe fitting;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electrical;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welding;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sheet metal;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carpentry;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masonry;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diesel and heavy equipment;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aviation maintenance;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heating, ventilation, and air conditioning;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construction management and inspection.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partnership participating in 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enable the school district or open-enrollment charter school to provide at least one course of study described by Subsection (c) through a partnership with an institution of higher education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course of study described by Subsection (c) that enables a participating student in grade level 11 or 12 to concurrently: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 in a certificate program described by Subsection (c)(2) at the partnering institution of higher education under which the student may receive instruction from an instructor employed by the institution and any appropriate work-based learning opportunities from the institution and earn: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level one or level two certificate, as defined by the commissioner;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another certificate approved by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satisfy high school graduation requirements and receive a high school diploma;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partnering school district or open-enrollment charter school to permit all district or school students in grade level 11 or 12 to enroll in a course of study provided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governed by an articulation agreement between the partnering school district or open-enrollment charter school and institution of higher 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meet any other requirements established by commissioner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course of study provided under the program must be provided at no cost to the student.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may approve the substitution of one credit in a subject area required for high school graduation under Section 28.025 with one credit in a career and technology education course provided by an institution of higher education under the program that substantially covers the essential knowledge and skills of the course for which it is substituted.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career and technology education course authorized as a substitute credit under Subsection (f) may not count: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more than one credit toward the student's high school graduation requirements;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credit for more than one subject area.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Time that a student spends participating in the program is counted as part of the minimum number of instructional hours required for a student to be considered a full-time student in average daily attendance for purposes of Section 48.005.</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Nothing in this section may be construed to prevent a student's participation in career and technology education courses before the student begins participating in the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adopt rules as necessary to administer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