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89R2225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housing finance corporations;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394.004, Local Government Code, is amended to read as follows:</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  This chapter applies only to a residential development </w:t>
      </w:r>
      <w:r>
        <w:rPr>
          <w:u w:val="single"/>
        </w:rPr>
        <w:t xml:space="preserve">that, in accordance with the requirements of this chapter,</w:t>
      </w:r>
      <w:r>
        <w:t xml:space="preserve"> </w:t>
      </w:r>
      <w:r>
        <w:t xml:space="preserve">[</w:t>
      </w:r>
      <w:r>
        <w:rPr>
          <w:strike/>
        </w:rPr>
        <w:t xml:space="preserve">at least 90 percent of which</w:t>
      </w:r>
      <w:r>
        <w:t xml:space="preserve">] is </w:t>
      </w:r>
      <w:r>
        <w:rPr>
          <w:u w:val="single"/>
        </w:rPr>
        <w:t xml:space="preserve">occupied</w:t>
      </w:r>
      <w:r>
        <w:t xml:space="preserve"> </w:t>
      </w:r>
      <w:r>
        <w:t xml:space="preserve">[</w:t>
      </w:r>
      <w:r>
        <w:rPr>
          <w:strike/>
        </w:rPr>
        <w:t xml:space="preserve">for use</w:t>
      </w:r>
      <w:r>
        <w:t xml:space="preserve">] by or is intended to be occupied by persons of low and moderate income whose adjusted gross income, together with the adjusted gross income of all persons who intend to reside with those persons in one dwelling unit, did not for the preceding tax year exceed the maximum amount constituting moderate income under the housing finance corporation's rules, resolutions relating to the issuance of bonds, or financing documents relating to the issuance of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394, Local Government Code, is amended by adding Section 394.0045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394.0045.</w:t>
      </w:r>
      <w:r>
        <w:rPr>
          <w:u w:val="single"/>
        </w:rPr>
        <w:t xml:space="preserve"> </w:t>
      </w:r>
      <w:r>
        <w:rPr>
          <w:u w:val="single"/>
        </w:rPr>
        <w:t xml:space="preserve"> </w:t>
      </w:r>
      <w:r>
        <w:rPr>
          <w:u w:val="single"/>
        </w:rPr>
        <w:t xml:space="preserve">APPLICABILITY OF OPEN MEETINGS AND OPEN RECORDS LAWS. </w:t>
      </w:r>
      <w:r>
        <w:rPr>
          <w:u w:val="single"/>
        </w:rPr>
        <w:t xml:space="preserve"> </w:t>
      </w:r>
      <w:r>
        <w:rPr>
          <w:u w:val="single"/>
        </w:rPr>
        <w:t xml:space="preserve">(a) </w:t>
      </w:r>
      <w:r>
        <w:rPr>
          <w:u w:val="single"/>
        </w:rPr>
        <w:t xml:space="preserve"> </w:t>
      </w:r>
      <w:r>
        <w:rPr>
          <w:u w:val="single"/>
        </w:rPr>
        <w:t xml:space="preserve">Chapter 551, Government Code, applies to actions and proceedings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552, Government Code, applies to all records of a housing finance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394.031, Local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area in which a housing finance corporation may exercise its powers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jurisdictional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unincorporated areas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jurisdictional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unincorporated areas of each county sponsor of the corporation.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housing finance corporation may exercise its powers outside an area described by Subsection (c) only if a resolution or order, as applicable, approving that exercise of power in the outside area is adopted by the governing body of each sponsoring local government and by the governing bodies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that contains any part of the outside area in which the corporation proposes to operate;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proposing to operate in the unincorporated area of a county, each county that contains any part of the outside area in which the corporation proposes to operate.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394.032(a) and (e), Local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limitations of Sections 394.031(c) and (d), a</w:t>
      </w:r>
      <w:r>
        <w:t xml:space="preserve"> [</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make contracts and other instruments as necessary or convenient to the exercise of powers under this chapter;</w:t>
      </w:r>
    </w:p>
    <w:p w:rsidR="003F3435" w:rsidRDefault="0032493E">
      <w:pPr>
        <w:spacing w:line="480" w:lineRule="auto"/>
        <w:ind w:firstLine="1440"/>
        <w:jc w:val="both"/>
      </w:pPr>
      <w:r>
        <w:t xml:space="preserve">(2)</w:t>
      </w:r>
      <w:r xml:space="preserve">
        <w:t> </w:t>
      </w:r>
      <w:r xml:space="preserve">
        <w:t> </w:t>
      </w:r>
      <w:r>
        <w:t xml:space="preserve">incur liabilities;</w:t>
      </w:r>
    </w:p>
    <w:p w:rsidR="003F3435" w:rsidRDefault="0032493E">
      <w:pPr>
        <w:spacing w:line="480" w:lineRule="auto"/>
        <w:ind w:firstLine="1440"/>
        <w:jc w:val="both"/>
      </w:pPr>
      <w:r>
        <w:t xml:space="preserve">(3)</w:t>
      </w:r>
      <w:r xml:space="preserve">
        <w:t> </w:t>
      </w:r>
      <w:r xml:space="preserve">
        <w:t> </w:t>
      </w:r>
      <w:r>
        <w:t xml:space="preserve">borrow money at rates determined by the corporation;</w:t>
      </w:r>
    </w:p>
    <w:p w:rsidR="003F3435" w:rsidRDefault="0032493E">
      <w:pPr>
        <w:spacing w:line="480" w:lineRule="auto"/>
        <w:ind w:firstLine="1440"/>
        <w:jc w:val="both"/>
      </w:pPr>
      <w:r>
        <w:t xml:space="preserve">(4)</w:t>
      </w:r>
      <w:r xml:space="preserve">
        <w:t> </w:t>
      </w:r>
      <w:r xml:space="preserve">
        <w:t> </w:t>
      </w:r>
      <w:r>
        <w:t xml:space="preserve">issue notes, bonds, and other obligations; and</w:t>
      </w:r>
    </w:p>
    <w:p w:rsidR="003F3435" w:rsidRDefault="0032493E">
      <w:pPr>
        <w:spacing w:line="480" w:lineRule="auto"/>
        <w:ind w:firstLine="1440"/>
        <w:jc w:val="both"/>
      </w:pPr>
      <w:r>
        <w:t xml:space="preserve">(5)</w:t>
      </w:r>
      <w:r xml:space="preserve">
        <w:t> </w:t>
      </w:r>
      <w:r xml:space="preserve">
        <w:t> </w:t>
      </w:r>
      <w:r>
        <w:t xml:space="preserve">secure any of its obligations by the mortgage or pledge of all or part of the corporation's property, franchises, and income.</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w:t>
      </w:r>
      <w:r>
        <w:rPr>
          <w:strike/>
        </w:rPr>
        <w:t xml:space="preserve">and outside</w:t>
      </w:r>
      <w:r>
        <w:t xml:space="preserve">] the jurisdiction of the housing finance corporation, including its authority to issue bonds for those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394.037,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Bonds issued under this chapter for a purpose described by Subsection (a) may be issued only to finance or support residential developments or homes that are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inside the boundaries of the sponsoring local government, if the bonds are issued by a housing finance corporation formed under Section 394.011;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boundaries of at least one sponsoring local government, if the bonds are issued by a joint housing finance corporation formed under Section 394.012.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394.9025(b),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w:t>
      </w:r>
      <w:r>
        <w:rPr>
          <w:u w:val="single"/>
        </w:rPr>
        <w:t xml:space="preserve">applicable</w:t>
      </w:r>
      <w:r>
        <w:t xml:space="preserve"> local government </w:t>
      </w:r>
      <w:r>
        <w:rPr>
          <w:u w:val="single"/>
        </w:rPr>
        <w:t xml:space="preserve">as described by Section 394.037(a-1)</w:t>
      </w:r>
      <w:r>
        <w:t xml:space="preserve">, a housing finance corporation may issue bonds to finance a multifamily residential development to be owned by the housing finance corporation in accordance with </w:t>
      </w:r>
      <w:r>
        <w:rPr>
          <w:u w:val="single"/>
        </w:rPr>
        <w:t xml:space="preserve">the requirements of this chapter</w:t>
      </w:r>
      <w:r>
        <w:t xml:space="preserve"> [</w:t>
      </w:r>
      <w:r>
        <w:rPr>
          <w:strike/>
        </w:rPr>
        <w:t xml:space="preserve">Section 394.004</w:t>
      </w:r>
      <w:r>
        <w:t xml:space="preserve">] if the housing finance corporation receives approval of the governing body of </w:t>
      </w:r>
      <w:r>
        <w:rPr>
          <w:u w:val="single"/>
        </w:rPr>
        <w:t xml:space="preserve">that</w:t>
      </w:r>
      <w:r>
        <w:t xml:space="preserve"> [</w:t>
      </w:r>
      <w:r>
        <w:rPr>
          <w:strike/>
        </w:rPr>
        <w:t xml:space="preserve">the</w:t>
      </w:r>
      <w:r>
        <w:t xml:space="preserve">] local government.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Z, Chapter 394, Local Government Code, is amended by adding Sections 394.9026 and 394.9027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394.9026.</w:t>
      </w:r>
      <w:r>
        <w:rPr>
          <w:u w:val="single"/>
        </w:rPr>
        <w:t xml:space="preserve"> </w:t>
      </w:r>
      <w:r>
        <w:rPr>
          <w:u w:val="single"/>
        </w:rPr>
        <w:t xml:space="preserve"> </w:t>
      </w:r>
      <w:r>
        <w:rPr>
          <w:u w:val="single"/>
        </w:rPr>
        <w:t xml:space="preserve">ADDITIONAL CONDITIONS FOR BENEFICIAL PROPERTY-BASED TAX AND FEE TREATMENT RELATING TO CERTAIN MULTIFAMILY RESIDENTIAL DEVELOPMENTS.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"Property-based exemption"</w:t>
      </w:r>
      <w:r>
        <w:rPr>
          <w:u w:val="single"/>
        </w:rPr>
        <w:t xml:space="preserve"> </w:t>
      </w:r>
      <w:r>
        <w:rPr>
          <w:u w:val="single"/>
        </w:rPr>
        <w:t xml:space="preserve">means an exemption from the taxes and fees imposed with respect to property owned by a housing finance corporation or with respect to income from that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"Rent"</w:t>
      </w:r>
      <w:r>
        <w:rPr>
          <w:u w:val="single"/>
        </w:rPr>
        <w:t xml:space="preserve"> </w:t>
      </w:r>
      <w:r>
        <w:rPr>
          <w:u w:val="single"/>
        </w:rPr>
        <w:t xml:space="preserve">means any recurring fee or charge a tenant is required to pay as a condition of occupancy, including a fee or charge for the use of a common area or facility reasonably associated with residential rental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multifamily residential development that is the recipient of a low income housing tax credit allocated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(g), a property-based exemption under Section 394.905(a) for a multifamily residential development is available only if the multifamily residential development satisfies the other requirements of this chapter 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units in the multifamily residential development are reserved for occupancy as lower income housing units;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of the units in the multifamily residential development are reserved for occupancy as moderate income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multifamily residential development that is acquired by a housing finance corporation, the development is occupied or was occupied within the two-year period preceding the date of the acquisition and is not otherwise subject to a land use restriction agreement under Section 2306.185, Government Code,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15 percent of the total gross cost of the existing development, as shown in the settlement statement, is expended on rehabilitating, renovating, reconstructing, or repairing the development, with initial expenditures and construction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beginning not later than the first anniversary of the date of the acquisition;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finishing not later than the third anniversary of the date of the acquisition;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25 percent of the units are reserved for occupancy as lower income housing units and the development is approved by the governing body of the municipality in which the development is located or, if the development is not located in a municipality, the county in which the development is located;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30 days before the date of final approval of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housing finance corporation or a sponsoring local government of the corporation conducts, or obtains from a professional entity that has experience underwriting affordable multifamily residential developments and does not have a financial interest in the applicable development, developer, or housing finance corporation, an underwriting assessment of the proposed development that allows the housing finance corporation to make a good faith determination that, for an occupied multifamily residential development acquired by a housing finance corporation or for a newly constructed multifamily residential development owned by a housing finance corporation, the total annual amount of rent reduction on the income-restricted residential units provided at the development will be not less than 60 percent of the estimated amount of the annual ad valorem taxes that would be imposed on the property without an exemption from those taxes under Section 394.905(a) for the second, third, and fourth years after the date of acquisition by the housing finance corporation or the date the certificate of occupancy is issued for the development, as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housing finance corporation publishes on its Internet website a copy of the underwriting assessment described by Paragraph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lower and moderate income housing units reserved in each category of income-restricted residential units in the development, based on the number of bedrooms per unit, is the same as the percentage of each category of income-restricted residential units reserved in the development as a whole;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monthly rent charged per unit does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housing finance corporation that owns the development does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rent a residential unit to an individual or family because the individual or family participates in the housing choice voucher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housing finance corporation publishes on its Internet website information about the development's: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compliance with the conditions prescribed by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policies regarding tenant participation in the housing choice voucher program;</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housing finance corporation that owns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affirmatively markets available residential units directly to individuals and families participating in the housing choice voucher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local housing authorities of the development's acceptance of tenants in the housing choice voucher program; and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each lease agreement for a residential unit in the development provides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income of an individual or family for a lower or moderate income housing unit, the housing finance corporation must use the definition of annual income described in 24 C.F.R. Section 5.609, as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lower or moderate income housing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housing finance corporation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tenant may not waive the protections provided by Subsection (c)(9).  A housing finance corporation may adopt tenant protections that are more protective of tenants than the tenant protections provided by Subsection (c)(9).</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(c) and Section 394.905(a)(1), a multifamily residential development that is acquired by a housing finance corporation, that is occupied or was occupied within the two-year period preceding the date of the acquisition, and that is not otherwise subject to a land use restriction agreement under Section 2306.185, Government Code, is eligible for a property-based exemption under Section 394.905(a)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one-year period following the date of the acquisition, regardless of whether the development complies with the conditions prescribed by Subsection (c) and Section 394.905(a)(1);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year following the year described by Subdivision (1) only if the development comes into compliance with the conditions prescribed by Subsection (c) and Section 394.905(a)(1) not later than the first anniversary of the date of the acquisition.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394.9027.</w:t>
      </w:r>
      <w:r>
        <w:rPr>
          <w:u w:val="single"/>
        </w:rPr>
        <w:t xml:space="preserve"> </w:t>
      </w:r>
      <w:r>
        <w:rPr>
          <w:u w:val="single"/>
        </w:rPr>
        <w:t xml:space="preserve"> </w:t>
      </w:r>
      <w:r>
        <w:rPr>
          <w:u w:val="single"/>
        </w:rPr>
        <w:t xml:space="preserve">AUDIT REQUIREMENTS FOR CERTAIN MULTIFAMILY RESIDENTIAL DEVELOPMENTS.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"Property-based exemption"</w:t>
      </w:r>
      <w:r>
        <w:rPr>
          <w:u w:val="single"/>
        </w:rPr>
        <w:t xml:space="preserve"> </w:t>
      </w:r>
      <w:r>
        <w:rPr>
          <w:u w:val="single"/>
        </w:rPr>
        <w:t xml:space="preserve">has the meaning assigned by Section 394.9026.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housing finance corporation that claims a property-based exemption for a  multifamily residential development under Section 394.905(a) must annually submit to the department and the chief appraiser of the appraisal district in which the development is located an audit report for a compliance audit, prepared at the expense of the housing finance corporation and conducted by an independent auditor or compliance expert with an established history of providing similar audits on housing compliance matters,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housing finance corporation is in compliance with the conditions imposed for the exemption by Sections 394.905(a) and 394.9026;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difference in the rent charged for income-restricted residential units and the estimated maximum market rents that could be charged for those units without the rent or income restrictions.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of receipt of the audit conducted under Subsection (b), the department shall examine the audit report and publish a report summarizing the findings of the audit.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a housing finance corporation that has an interest in a development that is the subject of an audit, the comptroller, and the governing body of the housing finance corporation's sponsoring local government or governments;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conditions imposed for the property-based exemption by Section 394.905(a) or 394.9026.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audit report submitted under Subsection (b) indicates noncompliance with Section 394.905(a) or 394.9026, a housing finance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written notice from the department or appropriate appraisal district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provided not later than the 90th day after the date a report has been submitted under Subsection (b);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specifies the reasons for noncompliance;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contains at least one option for a corrective action to resolve the noncompliance;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informs the housing finance corporation that failure to resolve the noncompliance will result in the loss of the property-based exemption under Section 394.905(a);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period of 60 days after the date notice is received under this subdivision to resolve the matter that is the subject of the notice;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 matter that is the subject of a notice provided under this subdivision is not resolved to the satisfaction of the department and appropriate taxing authority during the period provided by Paragraph (B), a second notice that informs the housing finance corporation of the loss of the property-based exemption due to noncompliance with Section 394.905(a) or 394.9026,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to be in compliance with Sections 394.905(a) and 394.9026 if notice under Subdivision (1)(A) is not provided as specified by Subparagraph (i) of that paragraph.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Section 394.9026(g), a property-based exemption under Section 394.905(a) does not apply for a tax year in which a multifamily residential development that is owned by a housing finance corporation created under this chapter is determined by the department based on an audit conducted under Subsection (b) to not be in compliance with the conditions imposed for that exemption by Sections 394.905(a) and 394.9026.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initial audit report required by Subsection (b) is due not later than June 1 of the year following the first anniversary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occupied multifamily residential development that is acquired by a housing finance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 multifamily residential development first becomes occupied by one or more tenants.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Subsequent audit reports following the issuance of the initial audit report under Subsection (f) are due not later than June 1 of each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independent auditor or compliance expert may not prepare an audit under Subsection (b) for more than three consecutive years for the same housing finance corporation.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adopt forms and reporting standards for the auditing process;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charge a fee for the submission of an audit report under this section in a reasonable amount necessary to cover the expenses of administering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adopt rules necessary to implement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audit conducted under Subsection (b)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rPr>
          <w:u w:val="single"/>
        </w:rPr>
        <w:t xml:space="preserve">A</w:t>
      </w:r>
      <w:r>
        <w:t xml:space="preserve"> [</w:t>
      </w:r>
      <w:r>
        <w:rPr>
          <w:strike/>
        </w:rPr>
        <w:t xml:space="preserve">The</w:t>
      </w:r>
      <w:r>
        <w:t xml:space="preserv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w:t>
      </w:r>
      <w:r>
        <w:rPr>
          <w:u w:val="single"/>
        </w:rPr>
        <w:t xml:space="preserve">location is subject to the requirements of this chapter</w:t>
      </w:r>
      <w:r>
        <w:t xml:space="preserve"> [</w:t>
      </w:r>
      <w:r>
        <w:rPr>
          <w:strike/>
        </w:rPr>
        <w:t xml:space="preserve">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Notwithstanding any other law, the</w:t>
      </w:r>
      <w:r>
        <w:t xml:space="preserve"> [</w:t>
      </w:r>
      <w:r>
        <w:rPr>
          <w:strike/>
        </w:rPr>
        <w:t xml:space="preserve">The</w:t>
      </w:r>
      <w:r>
        <w:t xml:space="preserv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 </w:t>
      </w:r>
      <w:r>
        <w:rPr>
          <w:u w:val="single"/>
        </w:rPr>
        <w:t xml:space="preserve">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exemption from taxes and fees imposed with respect to property owned by the housing finance corporation: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applicable audit report requirements provided by Section 394.9027 are satisfied, other than those imposed on a multifamily residential development under the circumstances described by Section 394.9026(g);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property is located in an area in which the housing finance corporation is authorized to exercise its powers as described by Section 394.031(c) or the exemption is approved by each applicable governing body described by Section 394.031(d);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an exemption from ad valorem taxation is claimed, the housing finance corporation submits to the Texas Department of Housing and Community Affairs and to the county tax assessor-collector for each appraisal district in which the exemption is sought a one-time exemption application on a form promulgated by the comptroller;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provided by Section 394.037(a-1) are satisfied, for an exemption from taxes and fees imposed with respect to bonds issued by the housing finance corporation, the income from those bonds, and the transfer of those bonds</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394.005, Local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Sections 394.031(c) and (d), Local Government Code, as added by this Act, apply only to the exercise of power by a housing finance corporation made on or after the effective date of this Act.  An exercise of power made before the effective date of this Act is governed by the law in effect on the date the power was exercised,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Sections 394.037(a-1) and 394.905(a)(2), Local Government Code, as added by this Act, apply only to bonds issued on or after the effective date of this Act. Bonds issued before the effective date of this Act are governed by the law in effect on the date the bonds were issued,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Subject to Subsections (d), (e), and (f) of this section, Sections 394.905(a)(1) and 394.9026, Local Government Code, as added by this Act, apply only to a tax or fee imposed for a tax year or calendar year, respectively, that begins on or after the effective date of this Act.</w:t>
      </w:r>
    </w:p>
    <w:p w:rsidR="003F3435" w:rsidRDefault="0032493E">
      <w:pPr>
        <w:spacing w:line="480" w:lineRule="auto"/>
        <w:ind w:firstLine="720"/>
        <w:jc w:val="both"/>
      </w:pPr>
      <w:r>
        <w:t xml:space="preserve">(d)</w:t>
      </w:r>
      <w:r xml:space="preserve">
        <w:t> </w:t>
      </w:r>
      <w:r xml:space="preserve">
        <w:t> </w:t>
      </w:r>
      <w:r>
        <w:t xml:space="preserve">Subject to Subsections (e) and (f) of this section, Sections 394.905(a)(1) and 394.9026, Local Government Code, as added by this Act, apply only to a residential development that is acquired by a housing finance corporation on or after the effective date of this Act. </w:t>
      </w:r>
      <w:r>
        <w:t xml:space="preserve"> </w:t>
      </w:r>
      <w:r>
        <w:t xml:space="preserve">A residential development that was acquired by a housing finance corporation before the effective date of this Act is governed by the law in effect on the date the development was acquired by the corporation, and the former law is continued in effect for that purpose.</w:t>
      </w:r>
    </w:p>
    <w:p w:rsidR="003F3435" w:rsidRDefault="0032493E">
      <w:pPr>
        <w:spacing w:line="480" w:lineRule="auto"/>
        <w:ind w:firstLine="720"/>
        <w:jc w:val="both"/>
      </w:pPr>
      <w:r>
        <w:t xml:space="preserve">(e)</w:t>
      </w:r>
      <w:r xml:space="preserve">
        <w:t> </w:t>
      </w:r>
      <w:r xml:space="preserve">
        <w:t> </w:t>
      </w:r>
      <w:r>
        <w:t xml:space="preserve">Section 394.9026(g), Local Government Code, as added by this Act, applies only to an occupied multifamily residential development that is acquired by a housing finance corporation on or after the effective date of this Act. </w:t>
      </w:r>
      <w:r>
        <w:t xml:space="preserve"> </w:t>
      </w:r>
      <w:r>
        <w:t xml:space="preserve">An occupied multifamily residential development that is acquired by a housing finance corporation before the effective date of this Act is governed by the law in effect on the date the development was acquired by the housing finance corporation, and the former law is continued in effect for that purpose.</w:t>
      </w:r>
    </w:p>
    <w:p w:rsidR="003F3435" w:rsidRDefault="0032493E">
      <w:pPr>
        <w:spacing w:line="480" w:lineRule="auto"/>
        <w:ind w:firstLine="720"/>
        <w:jc w:val="both"/>
      </w:pPr>
      <w:r>
        <w:t xml:space="preserve">(f)</w:t>
      </w:r>
      <w:r xml:space="preserve">
        <w:t> </w:t>
      </w:r>
      <w:r xml:space="preserve">
        <w:t> </w:t>
      </w:r>
      <w:r>
        <w:t xml:space="preserve">Sections 394.9026(c)(6), (7), (8), and (9) and (f), Local Government Code, as added by this Act, apply to a multifamily residential development owned by a housing finance corporation on or after the effective date of this Act, regardless of the date the development was acquired by the housing finance corporation.</w:t>
      </w:r>
    </w:p>
    <w:p w:rsidR="003F3435" w:rsidRDefault="0032493E">
      <w:pPr>
        <w:spacing w:line="480" w:lineRule="auto"/>
        <w:ind w:firstLine="720"/>
        <w:jc w:val="both"/>
      </w:pPr>
      <w:r>
        <w:t xml:space="preserve">(g)</w:t>
      </w:r>
      <w:r xml:space="preserve">
        <w:t> </w:t>
      </w:r>
      <w:r xml:space="preserve">
        <w:t> </w:t>
      </w:r>
      <w:r>
        <w:t xml:space="preserve">Notwithstanding Section 394.9027(b) or (f), Local Government Code, as added by this Act, the initial audit report required to be submitted under Section 394.9027(b), Local Government Code, as added by this Act, for a multifamily residential development that was acquired by a housing finance corporation before the effective date of this Act must be submitted by the later of:</w:t>
      </w:r>
    </w:p>
    <w:p w:rsidR="003F3435" w:rsidRDefault="0032493E">
      <w:pPr>
        <w:spacing w:line="480" w:lineRule="auto"/>
        <w:ind w:firstLine="1440"/>
        <w:jc w:val="both"/>
      </w:pPr>
      <w:r>
        <w:t xml:space="preserve">(1)</w:t>
      </w:r>
      <w:r xml:space="preserve">
        <w:t> </w:t>
      </w:r>
      <w:r xml:space="preserve">
        <w:t> </w:t>
      </w:r>
      <w:r>
        <w:t xml:space="preserve">the date established by Section 394.9027(f), Local Government Code, as added by this Act; or</w:t>
      </w:r>
    </w:p>
    <w:p w:rsidR="003F3435" w:rsidRDefault="0032493E">
      <w:pPr>
        <w:spacing w:line="480" w:lineRule="auto"/>
        <w:ind w:firstLine="1440"/>
        <w:jc w:val="both"/>
      </w:pPr>
      <w:r>
        <w:t xml:space="preserve">(2)</w:t>
      </w:r>
      <w:r xml:space="preserve">
        <w:t> </w:t>
      </w:r>
      <w:r xml:space="preserve">
        <w:t> </w:t>
      </w:r>
      <w:r>
        <w:t xml:space="preserve">June 1, 2026.</w:t>
      </w:r>
    </w:p>
    <w:p w:rsidR="003F3435" w:rsidRDefault="0032493E">
      <w:pPr>
        <w:spacing w:line="480" w:lineRule="auto"/>
        <w:ind w:firstLine="720"/>
        <w:jc w:val="both"/>
      </w:pPr>
      <w:r>
        <w:t xml:space="preserve">(h)</w:t>
      </w:r>
      <w:r xml:space="preserve">
        <w:t> </w:t>
      </w:r>
      <w:r xml:space="preserve">
        <w:t> </w:t>
      </w:r>
      <w:r>
        <w:t xml:space="preserve">Not later than January 1, 2026, the Texas Department of Housing and Community Affairs shall adopt rules necessary to implement Section 394.9027(i), Local Government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