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Orr, et al.</w:t>
      </w:r>
      <w:r>
        <w:t xml:space="preserve"> (Senate Sponsor</w:t>
      </w:r>
      <w:r xml:space="preserve">
        <w:t> </w:t>
      </w:r>
      <w:r>
        <w:t xml:space="preserve">-</w:t>
      </w:r>
      <w:r xml:space="preserve">
        <w:t> </w:t>
      </w:r>
      <w:r>
        <w:t xml:space="preserve">Hughes)</w:t>
      </w:r>
      <w:r xml:space="preserve">
        <w:tab wTab="150" tlc="none" cTlc="0"/>
      </w:r>
      <w:r>
        <w:t xml:space="preserve">H.B.</w:t>
      </w:r>
      <w:r xml:space="preserve">
        <w:t> </w:t>
      </w:r>
      <w:r>
        <w:t xml:space="preserve">No.</w:t>
      </w:r>
      <w:r xml:space="preserve">
        <w:t> </w:t>
      </w:r>
      <w:r>
        <w:t xml:space="preserve">24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7,</w:t>
      </w:r>
      <w:r xml:space="preserve">
        <w:t> </w:t>
      </w:r>
      <w:r>
        <w:t xml:space="preserve">2025; May</w:t>
      </w:r>
      <w:r xml:space="preserve">
        <w:t> </w:t>
      </w:r>
      <w:r>
        <w:t xml:space="preserve">14,</w:t>
      </w:r>
      <w:r xml:space="preserve">
        <w:t> </w:t>
      </w:r>
      <w:r>
        <w:t xml:space="preserve">2025, read first time and referred to Committee on Local Government; May</w:t>
      </w:r>
      <w:r xml:space="preserve">
        <w:t> </w:t>
      </w:r>
      <w:r>
        <w:t xml:space="preserve">19,</w:t>
      </w:r>
      <w:r xml:space="preserve">
        <w:t> </w:t>
      </w:r>
      <w:r>
        <w:t xml:space="preserve">2025, reported adversely, with favorable Committee Substitute by the following vote:</w:t>
      </w:r>
      <w:r>
        <w:t xml:space="preserve"> </w:t>
      </w:r>
      <w:r>
        <w:t xml:space="preserve"> </w:t>
      </w:r>
      <w:r>
        <w:t xml:space="preserve">Yeas 6, Nays 0; May</w:t>
      </w:r>
      <w:r xml:space="preserve">
        <w:t> </w:t>
      </w:r>
      <w:r>
        <w:t xml:space="preserve">19,</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24</w:t>
      </w:r>
      <w:r xml:space="preserve">
        <w:tab wTab="150" tlc="none" cTlc="0"/>
      </w:r>
      <w:r>
        <w:t xml:space="preserve">By:</w:t>
      </w:r>
      <w:r xml:space="preserve">
        <w:t> </w:t>
      </w:r>
      <w:r xml:space="preserve">
        <w:t> </w:t>
      </w:r>
      <w:r>
        <w:t xml:space="preserve">Gutierrez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procedures for changes to a zoning regulation or district boundary.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211, Local Government Code, is amended by adding Section 211.0011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211.0011.</w:t>
      </w:r>
      <w:r>
        <w:rPr>
          <w:u w:val="single"/>
        </w:rPr>
        <w:t xml:space="preserve"> </w:t>
      </w:r>
      <w:r>
        <w:rPr>
          <w:u w:val="single"/>
        </w:rPr>
        <w:t xml:space="preserve"> </w:t>
      </w:r>
      <w:r>
        <w:rPr>
          <w:u w:val="single"/>
        </w:rPr>
        <w:t xml:space="preserve">DEFINITION.  In this subchapter, "proposed comprehensive zoning change" means a municipal proposal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 an existing zoning regulation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the previous regulation;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apply uniformly to each parcel in one or more zoning districts;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adopt a new zoning code or zoning map that will apply to the entire municipality;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zoning overlay district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will have the effect of allowing more residential development than allowed without the overlay;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will include an area along a major roadway, highway, or transit corridor.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 wishing to exercise the authority relating to zoning regulations and zoning district boundaries shall establish procedures for adopting and enforcing the regulations and boundaries.</w:t>
      </w:r>
      <w:r xml:space="preserve">
        <w:t> </w:t>
      </w:r>
      <w:r xml:space="preserve">
        <w:t> </w:t>
      </w:r>
      <w:r>
        <w:t xml:space="preserve">A regulation or boundary is not effective until after a public hearing on the matter at which parties in interest and citizens have an opportunity to be heard.</w:t>
      </w:r>
      <w:r xml:space="preserve">
        <w:t> </w:t>
      </w:r>
      <w:r xml:space="preserve">
        <w:t> </w:t>
      </w:r>
      <w:r>
        <w:t xml:space="preserve">Before the 15th day before the date of the hearing, notice of the time and place of the hearing must be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published in an official newspaper or a newspaper of general circulation in the municipality</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municipality maintains an Internet website, published on the municipality's Internet website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211, Local Government Code, is amended by adding Section 211.0061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211.0061.</w:t>
      </w:r>
      <w:r>
        <w:rPr>
          <w:u w:val="single"/>
        </w:rPr>
        <w:t xml:space="preserve"> </w:t>
      </w:r>
      <w:r>
        <w:rPr>
          <w:u w:val="single"/>
        </w:rPr>
        <w:t xml:space="preserve"> </w:t>
      </w:r>
      <w:r>
        <w:rPr>
          <w:u w:val="single"/>
        </w:rPr>
        <w:t xml:space="preserve">PROTEST PROCEDURES FOR CERTAIN PROPOSED CHANGES. </w:t>
      </w:r>
      <w:r>
        <w:rPr>
          <w:u w:val="single"/>
        </w:rPr>
        <w:t xml:space="preserve"> </w:t>
      </w:r>
      <w:r>
        <w:rPr>
          <w:u w:val="single"/>
        </w:rPr>
        <w:t xml:space="preserve">(a) </w:t>
      </w:r>
      <w:r>
        <w:rPr>
          <w:u w:val="single"/>
        </w:rPr>
        <w:t xml:space="preserve"> </w:t>
      </w:r>
      <w:r>
        <w:rPr>
          <w:u w:val="single"/>
        </w:rPr>
        <w:t xml:space="preserve">This section applies only to a proposed change to a zoning regulation or district boundary that is not a proposed comprehensive zoning change.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protest of a proposed change to a zoning regulation or district boundary must be written and signed by the owners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20 percent of the area of the lots or land covered by the proposed change;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except as provided by Subdivision (3), at least 20 percent of the area of the lots or land immediately adjoining the area covered by the proposed change and extending 200 feet from that area;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least 60 percent of the area of the lots or land immediately adjoining the area covered by the proposed change and extending 200 feet from that area if the proposed change has the effect of allowing more residential development than the existing zoning regulation or district boundary and does not have the effect of allowing additional commercial or industrial uses unless the additional use is limited to the first floor of any residential development and does not exceed 35 percent of the overall development.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proposed change to a regulation or district boundary is protested in accordance with Subsection (b), the proposed change must receive, in order to take effect, the affirmative vote of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three-fourths of all members of the governing body for a protest described by Subsection (b)(1) or (2);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majority of all members of the governing body for a protest described by Subsection (b)(3).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211.006(e), Local Government Code, is transferred to Section 211.0061, Local Government Code, as added by this Act, redesignated as Section 211.0061(c), Local Government Code, and amended to read as follows:</w:t>
      </w:r>
    </w:p>
    <w:p w:rsidR="003F3435" w:rsidRDefault="0032493E">
      <w:pPr>
        <w:spacing w:line="480" w:lineRule="auto"/>
        <w:ind w:firstLine="720"/>
        <w:jc w:val="both"/>
      </w:pPr>
      <w:r>
        <w:rPr>
          <w:u w:val="single"/>
        </w:rPr>
        <w:t xml:space="preserve">(c)</w:t>
      </w:r>
      <w:r xml:space="preserve">
        <w:t> </w:t>
      </w:r>
      <w:r>
        <w:t xml:space="preserve">[</w:t>
      </w:r>
      <w:r>
        <w:rPr>
          <w:strike/>
        </w:rPr>
        <w:t xml:space="preserve">(e)</w:t>
      </w:r>
      <w:r>
        <w:t xml:space="preserve">]</w:t>
      </w:r>
      <w:r xml:space="preserve">
        <w:t> </w:t>
      </w:r>
      <w:r xml:space="preserve">
        <w:t> </w:t>
      </w:r>
      <w:r>
        <w:t xml:space="preserve">In computing the percentage of land area under Subsection </w:t>
      </w:r>
      <w:r>
        <w:rPr>
          <w:u w:val="single"/>
        </w:rPr>
        <w:t xml:space="preserve">(b):</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(d),</w:t>
      </w:r>
      <w:r>
        <w:t xml:space="preserve">] the area of streets and alleys shall be included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 area is not calculated individually for each tract of land subject to a proposed change in a zoning regulation or district boundary but in the aggregate for all tracts of land subject to the change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211, Local Government Code, is amended by adding Sections 211.0063 and 211.0065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211.0063.</w:t>
      </w:r>
      <w:r>
        <w:rPr>
          <w:u w:val="single"/>
        </w:rPr>
        <w:t xml:space="preserve"> </w:t>
      </w:r>
      <w:r>
        <w:rPr>
          <w:u w:val="single"/>
        </w:rPr>
        <w:t xml:space="preserve"> </w:t>
      </w:r>
      <w:r>
        <w:rPr>
          <w:u w:val="single"/>
        </w:rPr>
        <w:t xml:space="preserve">NOTICE FOR PROPOSED COMPREHENSIVE ZONING CHANGES. </w:t>
      </w:r>
      <w:r>
        <w:rPr>
          <w:u w:val="single"/>
        </w:rPr>
        <w:t xml:space="preserve"> </w:t>
      </w:r>
      <w:r>
        <w:rPr>
          <w:u w:val="single"/>
        </w:rPr>
        <w:t xml:space="preserve">The notices described by Section 211.006(a) or 211.007(d), as applicable, and Section 211.006(a-1) are the only notices required for a proposed comprehensive zoning 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211.0065.</w:t>
      </w:r>
      <w:r>
        <w:rPr>
          <w:u w:val="single"/>
        </w:rPr>
        <w:t xml:space="preserve"> </w:t>
      </w:r>
      <w:r>
        <w:rPr>
          <w:u w:val="single"/>
        </w:rPr>
        <w:t xml:space="preserve"> </w:t>
      </w:r>
      <w:r>
        <w:rPr>
          <w:u w:val="single"/>
        </w:rPr>
        <w:t xml:space="preserve">PRESUMPTION OF VALIDITY FOR CERTAIN CHANGES TO ZONING REGULATIONS OR DISTRICT BOUNDARIES. </w:t>
      </w:r>
      <w:r>
        <w:rPr>
          <w:u w:val="single"/>
        </w:rPr>
        <w:t xml:space="preserve"> </w:t>
      </w:r>
      <w:r>
        <w:rPr>
          <w:u w:val="single"/>
        </w:rPr>
        <w:t xml:space="preserve">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211, Local Government Code, is amended by adding Section 211.0073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211.0073.</w:t>
      </w:r>
      <w:r>
        <w:rPr>
          <w:u w:val="single"/>
        </w:rPr>
        <w:t xml:space="preserve"> </w:t>
      </w:r>
      <w:r>
        <w:rPr>
          <w:u w:val="single"/>
        </w:rPr>
        <w:t xml:space="preserve"> </w:t>
      </w:r>
      <w:r>
        <w:rPr>
          <w:u w:val="single"/>
        </w:rPr>
        <w:t xml:space="preserve">NOTICE SIGN REQUIREMENT FOR CERTAIN ZONING CHANGES IN HOME-RULE MUNICIPALITIES.</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Not later than the 10th day before the date the zoning commission of a home-rule municipality holds a hearing on a proposed change in zoning classification that does not apply to the whole municipality and until the date of a final determination on the proposed change by the governing body of the municipality, the zoning commission shall post a notice sign in accordance with this section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affected by the change;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public right-of-way for a change initiated by the municipality that affects multiple properties.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sign must be at least 24 inches long by 48 inches wide.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zoning commission may elect to provide, maintain, and pay for a notice sign under this section or require an applicant for a change in zoning classification to provide, maintain, and pay for the sign.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requirements prescribed under this section are in addition to notice required by Section 211.007.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211.006(d) and (f), Local Government Code, are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proposal to change a municipal zoning regulation or district boundary made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