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89R23839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Frank, VanDeaver, Bucy, Pierson,</w:t>
      </w:r>
      <w:r xml:space="preserve">
        <w:tab wTab="150" tlc="none" cTlc="0"/>
      </w:r>
      <w:r>
        <w:t xml:space="preserve">H.B.</w:t>
      </w:r>
      <w:r xml:space="preserve">
        <w:t> </w:t>
      </w:r>
      <w:r>
        <w:t xml:space="preserve">No.</w:t>
      </w:r>
      <w:r xml:space="preserve">
        <w:t> </w:t>
      </w:r>
      <w:r>
        <w:t xml:space="preserve">25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25:</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and nutrition standards to promote healthy living;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Subsections (l) and (l-1) and adding Subsections (l-4) and (u) to read as follows:</w:t>
      </w:r>
    </w:p>
    <w:p w:rsidR="003F3435" w:rsidRDefault="0032493E">
      <w:pPr>
        <w:spacing w:line="480" w:lineRule="auto"/>
        <w:ind w:firstLine="720"/>
        <w:jc w:val="both"/>
      </w:pPr>
      <w:r>
        <w:t xml:space="preserve">(l)</w:t>
      </w:r>
      <w:r xml:space="preserve">
        <w:t> </w:t>
      </w:r>
      <w:r xml:space="preserve">
        <w:t> </w:t>
      </w:r>
      <w:r>
        <w:t xml:space="preserve">A school district </w:t>
      </w:r>
      <w:r>
        <w:rPr>
          <w:u w:val="single"/>
        </w:rPr>
        <w:t xml:space="preserve">or open-enrollment charter school</w:t>
      </w:r>
      <w:r>
        <w:t xml:space="preserve"> shall require a student enrolled in full-day prekindergarten, in kindergarten, or in a grade level below grade six to participate in moderate or vigorous daily physical activity for at least 30 minutes throughout the school year as part of the district's </w:t>
      </w:r>
      <w:r>
        <w:rPr>
          <w:u w:val="single"/>
        </w:rPr>
        <w:t xml:space="preserve">or school's</w:t>
      </w:r>
      <w:r>
        <w:t xml:space="preserve"> physical education curriculum or through structured activity during a school campus's daily recess.  To the extent practicable, a school district </w:t>
      </w:r>
      <w:r>
        <w:rPr>
          <w:u w:val="single"/>
        </w:rPr>
        <w:t xml:space="preserve">or open-enrollment charter school</w:t>
      </w:r>
      <w:r>
        <w:t xml:space="preserve"> shall require a student enrolled in prekindergarten on less than a full-day basis to participate in the same type and amount of physical activity as a student enrolled in full-day prekindergarten.  A school district </w:t>
      </w:r>
      <w:r>
        <w:rPr>
          <w:u w:val="single"/>
        </w:rPr>
        <w:t xml:space="preserve">or open-enrollment charter school</w:t>
      </w:r>
      <w:r>
        <w:t xml:space="preserve"> shall require students enrolled in grade levels six, seven, and eight to participate in moderate or vigorous daily physical activity for at least 30 minutes for at least </w:t>
      </w:r>
      <w:r>
        <w:rPr>
          <w:u w:val="single"/>
        </w:rPr>
        <w:t xml:space="preserve">six</w:t>
      </w:r>
      <w:r>
        <w:t xml:space="preserve"> [</w:t>
      </w:r>
      <w:r>
        <w:rPr>
          <w:strike/>
        </w:rPr>
        <w:t xml:space="preserve">four</w:t>
      </w:r>
      <w:r>
        <w:t xml:space="preserve">] semesters during those grade levels as part of the district's </w:t>
      </w:r>
      <w:r>
        <w:rPr>
          <w:u w:val="single"/>
        </w:rPr>
        <w:t xml:space="preserve">or school's</w:t>
      </w:r>
      <w:r>
        <w:t xml:space="preserve"> physical education curriculum.  If a school district </w:t>
      </w:r>
      <w:r>
        <w:rPr>
          <w:u w:val="single"/>
        </w:rPr>
        <w:t xml:space="preserve">or open-enrollment charter school</w:t>
      </w:r>
      <w:r>
        <w:t xml:space="preserve"> determines, for any particular grade level below grade six, that requiring moderate or vigorous daily physical activity is impractical due to scheduling concerns or other factors, the district </w:t>
      </w:r>
      <w:r>
        <w:rPr>
          <w:u w:val="single"/>
        </w:rPr>
        <w:t xml:space="preserve">or school</w:t>
      </w:r>
      <w:r>
        <w:t xml:space="preserve"> may as an alternative require a student in that grade level to participate in moderate or vigorous physical activity for at least 135 minutes during each school week.  Additionally, a school district </w:t>
      </w:r>
      <w:r>
        <w:rPr>
          <w:u w:val="single"/>
        </w:rPr>
        <w:t xml:space="preserve">or open-enrollment charter school</w:t>
      </w:r>
      <w:r>
        <w:t xml:space="preserve"> may as an alternative require a student enrolled in a grade level for which the district </w:t>
      </w:r>
      <w:r>
        <w:rPr>
          <w:u w:val="single"/>
        </w:rPr>
        <w:t xml:space="preserve">or school</w:t>
      </w:r>
      <w:r>
        <w:t xml:space="preserve"> uses block scheduling to participate in moderate or vigorous physical activity for at least 225 minutes during each period of two school weeks.  A school district </w:t>
      </w:r>
      <w:r>
        <w:rPr>
          <w:u w:val="single"/>
        </w:rPr>
        <w:t xml:space="preserve">or open-enrollment charter school</w:t>
      </w:r>
      <w:r>
        <w:t xml:space="preserve">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t xml:space="preserve">(l-1)</w:t>
      </w:r>
      <w:r xml:space="preserve">
        <w:t> </w:t>
      </w:r>
      <w:r xml:space="preserve">
        <w:t> </w:t>
      </w:r>
      <w:r>
        <w:t xml:space="preserve">In adopting rules relating to an activity described by Subsection (l)(2), the commissioner </w:t>
      </w:r>
      <w:r>
        <w:rPr>
          <w:u w:val="single"/>
        </w:rPr>
        <w:t xml:space="preserve">shall</w:t>
      </w:r>
      <w:r>
        <w:t xml:space="preserve"> </w:t>
      </w:r>
      <w:r>
        <w:t xml:space="preserve">[</w:t>
      </w:r>
      <w:r>
        <w:rPr>
          <w:strike/>
        </w:rPr>
        <w:t xml:space="preserve">may</w:t>
      </w:r>
      <w:r>
        <w:t xml:space="preserve">] permit an exemption for a student who participates in a school-related activity or an activity sponsored by a private league or club [</w:t>
      </w:r>
      <w:r>
        <w:rPr>
          <w:strike/>
        </w:rPr>
        <w:t xml:space="preserve">only</w:t>
      </w:r>
      <w:r>
        <w:t xml:space="preserve">] if the student provides proof of participation in the activity.</w:t>
      </w:r>
    </w:p>
    <w:p w:rsidR="003F3435" w:rsidRDefault="0032493E">
      <w:pPr>
        <w:spacing w:line="480" w:lineRule="auto"/>
        <w:ind w:firstLine="720"/>
        <w:jc w:val="both"/>
      </w:pPr>
      <w:r>
        <w:rPr>
          <w:u w:val="single"/>
        </w:rPr>
        <w:t xml:space="preserve">(l-4)</w:t>
      </w:r>
      <w:r>
        <w:rPr>
          <w:u w:val="single"/>
        </w:rPr>
        <w:t xml:space="preserve"> </w:t>
      </w:r>
      <w:r>
        <w:rPr>
          <w:u w:val="single"/>
        </w:rPr>
        <w:t xml:space="preserve"> </w:t>
      </w:r>
      <w:r>
        <w:rPr>
          <w:u w:val="single"/>
        </w:rPr>
        <w:t xml:space="preserve">In providing a physical education curriculum under Subsection (l), a school employee may not restrict participation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recess or other physical activity offered as part of the district's or school's physical education curriculum for a student enrolled in kindergarten or in a grade level below grade six as a penalty for the student's academic performance or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activity offered as part of the district's or school's physical education curriculum for a student enrolled in grade level six, seven, or eight as a penalty for the student's academic performance or behavior.</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In adopting the essential knowledge and skills for the health curriculum under Subsection (a)(2)(B) for a grade level from kindergarten through grade eight, the State Board of Education shall adopt essential knowledge and skills that include nutrition instruction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28.0115.</w:t>
      </w:r>
      <w:r>
        <w:rPr>
          <w:u w:val="single"/>
        </w:rPr>
        <w:t xml:space="preserve"> </w:t>
      </w:r>
      <w:r>
        <w:rPr>
          <w:u w:val="single"/>
        </w:rPr>
        <w:t xml:space="preserve"> </w:t>
      </w:r>
      <w:r>
        <w:rPr>
          <w:u w:val="single"/>
        </w:rPr>
        <w:t xml:space="preserve">ELECTIVE COURSE ON NUTRITION AND WELLNESS.  Each school district and open-enrollment charter school offering a high school program shall provide an elective course in nutrition and wellness that meets the requirements for a one-half elective credit under Section 28.025, using materials the State Board of Education approves. </w:t>
      </w:r>
      <w:r>
        <w:rPr>
          <w:u w:val="single"/>
        </w:rPr>
        <w:t xml:space="preserve"> </w:t>
      </w:r>
      <w:r>
        <w:rPr>
          <w:u w:val="single"/>
        </w:rPr>
        <w:t xml:space="preserve">The nutrition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incorporate other relevant material, including culinary skills, horticulture, and consumer economics.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51, Education Code, is amended by adding Section 51.3025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51.3025.</w:t>
      </w:r>
      <w:r>
        <w:rPr>
          <w:u w:val="single"/>
        </w:rPr>
        <w:t xml:space="preserve"> </w:t>
      </w:r>
      <w:r>
        <w:rPr>
          <w:u w:val="single"/>
        </w:rPr>
        <w:t xml:space="preserve"> </w:t>
      </w:r>
      <w:r>
        <w:rPr>
          <w:u w:val="single"/>
        </w:rPr>
        <w:t xml:space="preserve">NUTRITION EDUCATION COURSEWORK.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Higher Education Coordinating Board by rule shall require institutions of higher education to require each student enrolled in an associate or baccalaureate degree program at the institution to complete a course of instruction in nutrition education.  The course must include curriculum requirements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Education Code, is amended by adding Section 63.0025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63.0025.</w:t>
      </w:r>
      <w:r>
        <w:rPr>
          <w:u w:val="single"/>
        </w:rPr>
        <w:t xml:space="preserve"> </w:t>
      </w:r>
      <w:r>
        <w:rPr>
          <w:u w:val="single"/>
        </w:rPr>
        <w:t xml:space="preserve"> </w:t>
      </w:r>
      <w:r>
        <w:rPr>
          <w:u w:val="single"/>
        </w:rPr>
        <w:t xml:space="preserve">REQUIRED NUTRITION CURRICULUM.  A health-related institution of higher education listed in Section 63.002(c) is eligible for distribution of money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63, Education Code, is amended by adding Section 63.103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63.103.</w:t>
      </w:r>
      <w:r>
        <w:rPr>
          <w:u w:val="single"/>
        </w:rPr>
        <w:t xml:space="preserve"> </w:t>
      </w:r>
      <w:r>
        <w:rPr>
          <w:u w:val="single"/>
        </w:rPr>
        <w:t xml:space="preserve"> </w:t>
      </w:r>
      <w:r>
        <w:rPr>
          <w:u w:val="single"/>
        </w:rPr>
        <w:t xml:space="preserve">REQUIRED NUTRITION CURRICULUM.  A health-related institution of higher education listed in Section 63.101(a) is eligible for distribution of money from a fund established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63, Education Code, is amended by adding Section 63.2025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63.2025.</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students in nursing, allied health, or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63, Education Code, is amended by adding Section 63.303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63.303.</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majors related to health care service provision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E, Title 2, Health and Safety Code, is amended by adding Chapter 119B to read as follows:</w:t>
      </w:r>
    </w:p>
    <w:p w:rsidR="003F3435" w:rsidRDefault="0032493E">
      <w:pPr>
        <w:spacing w:line="480" w:lineRule="auto"/>
        <w:jc w:val="center"/>
      </w:pPr>
      <w:r>
        <w:rPr>
          <w:u w:val="single"/>
        </w:rPr>
        <w:t xml:space="preserve">CHAPTER 119B.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119B.001.</w:t>
      </w:r>
      <w:r>
        <w:rPr>
          <w:u w:val="single"/>
        </w:rPr>
        <w:t xml:space="preserve"> </w:t>
      </w:r>
      <w:r>
        <w:rPr>
          <w:u w:val="single"/>
        </w:rPr>
        <w:t xml:space="preserve"> </w:t>
      </w:r>
      <w:r>
        <w:rPr>
          <w:u w:val="single"/>
        </w:rPr>
        <w:t xml:space="preserve">DEFINITION.  In this chapter, "advisory committee" means the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119B.002.</w:t>
      </w:r>
      <w:r>
        <w:rPr>
          <w:u w:val="single"/>
        </w:rPr>
        <w:t xml:space="preserve"> </w:t>
      </w:r>
      <w:r>
        <w:rPr>
          <w:u w:val="single"/>
        </w:rPr>
        <w:t xml:space="preserve"> </w:t>
      </w:r>
      <w:r>
        <w:rPr>
          <w:u w:val="single"/>
        </w:rPr>
        <w:t xml:space="preserve">ADVISORY COMMITTEE ESTABLISHED.  The Texas Nutrition Advisory Committee is established to develop nutritional guidelines for residents of this state.  The advisory committee is administratively attached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advisory committee is composed of seven members appointed by the governor, including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expert in metabolic health, culinary medicine, lifestyle medicine, or integrative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physician certified in functional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the Texas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a rural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representing an urban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pediatrician specializing in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the advisory committee members, the governor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recommendations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of the senate committee on health and human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chair of the house of representatives committee on public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chair of the house of representatives committee on human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is ineligible for appointment to the advisory committee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an ownership interest in a food, beverage, dietary supplement, or pharmaceutical manufacturing company;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within the third degree of consanguinity or affinity, as determined by Chapter 573, Government Code, to an individual who owns or controls an ownership interest in a food, beverage, dietary supplement, or pharmaceutical manufacturing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accepting an appointment under this section, an individual must disclose all past or existing affiliations with a food, beverage, dietary supplement, or pharmaceutical manufacturing company or any other affiliation that could reasonably create a conflict of interest with the goals of the advisory committee. </w:t>
      </w:r>
      <w:r>
        <w:rPr>
          <w:u w:val="single"/>
        </w:rPr>
        <w:t xml:space="preserve"> </w:t>
      </w:r>
      <w:r>
        <w:rPr>
          <w:u w:val="single"/>
        </w:rP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committee members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119B.004.</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independent review of scientific studies analyzing the effects of ultra-processed foods on human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education on the effects of ultra-processed foods on human health;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maintain dietary and nutritional guidelines based on the consensus of available scientific studies and information concerning diet and nutrition.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119B.005.</w:t>
      </w:r>
      <w:r>
        <w:rPr>
          <w:u w:val="single"/>
        </w:rPr>
        <w:t xml:space="preserve"> </w:t>
      </w:r>
      <w:r>
        <w:rPr>
          <w:u w:val="single"/>
        </w:rPr>
        <w:t xml:space="preserve"> </w:t>
      </w:r>
      <w:r>
        <w:rPr>
          <w:u w:val="single"/>
        </w:rPr>
        <w:t xml:space="preserve">ANNUAL REPORT.  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scientific studies;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nutritional guidelines incorporating any new scientific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recommendations the advisory committee considers appropriate based on new scientific studies.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119B.006.</w:t>
      </w:r>
      <w:r>
        <w:rPr>
          <w:u w:val="single"/>
        </w:rPr>
        <w:t xml:space="preserve"> </w:t>
      </w:r>
      <w:r>
        <w:rPr>
          <w:u w:val="single"/>
        </w:rPr>
        <w:t xml:space="preserve"> </w:t>
      </w:r>
      <w:r>
        <w:rPr>
          <w:u w:val="single"/>
        </w:rPr>
        <w:t xml:space="preserve">DEPARTMENT NUTRITIONAL GUIDELINES WEB PAGE.  (a) </w:t>
      </w:r>
      <w:r>
        <w:rPr>
          <w:u w:val="single"/>
        </w:rPr>
        <w:t xml:space="preserve"> </w:t>
      </w:r>
      <w:r>
        <w:rPr>
          <w:u w:val="single"/>
        </w:rPr>
        <w:t xml:space="preserve">The department shall post on a publicly available web page on the department's Internet website the guidelines developed under Section 119B.004 in a manner that is easily accessible and readily understandable.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annually update information posted under this section based on the report submitted under Section 119B.005.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119B.007.</w:t>
      </w:r>
      <w:r>
        <w:rPr>
          <w:u w:val="single"/>
        </w:rPr>
        <w:t xml:space="preserve"> </w:t>
      </w:r>
      <w:r>
        <w:rPr>
          <w:u w:val="single"/>
        </w:rPr>
        <w:t xml:space="preserve"> </w:t>
      </w:r>
      <w:r>
        <w:rPr>
          <w:u w:val="single"/>
        </w:rPr>
        <w:t xml:space="preserve">EXPIRATION.  The advisory committee is abolished and this 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119B.008.</w:t>
      </w:r>
      <w:r>
        <w:rPr>
          <w:u w:val="single"/>
        </w:rPr>
        <w:t xml:space="preserve"> </w:t>
      </w:r>
      <w:r>
        <w:rPr>
          <w:u w:val="single"/>
        </w:rPr>
        <w:t xml:space="preserve"> </w:t>
      </w:r>
      <w:r>
        <w:rPr>
          <w:u w:val="single"/>
        </w:rPr>
        <w:t xml:space="preserve">RULES.  The executive commissioner of the Health and Human Services Commission may adopt rules as necessary to implement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431, Health and Safety Code, is amended by adding Sections 431.0815 and 431.0816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FOOD CONTAINING ARTIFICIAL COLOR, ADDITIVES, OR CERTAIN BANNED CHEMICALS.  (a)  A food manufacturer shall ensure each food product the manufacturer offers for sale in this state includes a warning label disclosing the use of any of the following ingredients in a product intended for human consumption: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acesulfame potassium;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acetylated esters of mono- and diglycerides (acetic acid ester);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anisole;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aspartame;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atrazine;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azodicarbonamide (ADA);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butylated hydroxyanisole (BHA);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butylated hydroxytoluene (BHT);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bleached flour;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blue 1 (CAS 3844-45-9);</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blue 2 (CAS 860-22-0);</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bromated flour;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calcium bromate;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canthaxanthin;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certified food colors by the United States Food and Drug Administration;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citrus red 2 (CAS 6358-53-8);</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diacetyl;</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diacetyl tartaric and fatty acid esters of mono- and diglycerides (DATEM);</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dimethylamylamine (DMAA);</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dioctyl sodium sulfosuccinate (DSS);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ficin;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glyphosate;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green 3 (CAS 2353-45-9);</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high fructose corn syrup;</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interesterified palm oil;</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interesterified soybean oil;</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lactylated fatty acid esters of glycerol and propylene glycol;</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lye;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morpholine;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olestra;</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partially hydrogenated oil (PHO);</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potassium aluminum sulfate;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potassium bromate;</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potassium iodate;</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potassium sorbate;</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propylene oxide;</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propylparaben;</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red 3 (CAS 16423-68-0);</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red 4 (CAS 4548-53-2);</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red 40 (CAS 25956-17-6);</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saccharine;</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sodium aluminum sulfate;</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sodium lauryl sulfate;</w:t>
      </w:r>
    </w:p>
    <w:p w:rsidR="003F3435" w:rsidRDefault="0032493E">
      <w:pPr>
        <w:spacing w:line="480" w:lineRule="auto"/>
        <w:ind w:firstLine="1440"/>
        <w:jc w:val="both"/>
      </w:pPr>
      <w:r>
        <w:rPr>
          <w:u w:val="single"/>
        </w:rPr>
        <w:t xml:space="preserve">(44)</w:t>
      </w:r>
      <w:r>
        <w:rPr>
          <w:u w:val="single"/>
        </w:rPr>
        <w:t xml:space="preserve"> </w:t>
      </w:r>
      <w:r>
        <w:rPr>
          <w:u w:val="single"/>
        </w:rPr>
        <w:t xml:space="preserve"> </w:t>
      </w:r>
      <w:r>
        <w:rPr>
          <w:u w:val="single"/>
        </w:rPr>
        <w:t xml:space="preserve">sodium stearyl fumarate;</w:t>
      </w:r>
    </w:p>
    <w:p w:rsidR="003F3435" w:rsidRDefault="0032493E">
      <w:pPr>
        <w:spacing w:line="480" w:lineRule="auto"/>
        <w:ind w:firstLine="1440"/>
        <w:jc w:val="both"/>
      </w:pPr>
      <w:r>
        <w:rPr>
          <w:u w:val="single"/>
        </w:rPr>
        <w:t xml:space="preserve">(45)</w:t>
      </w:r>
      <w:r>
        <w:rPr>
          <w:u w:val="single"/>
        </w:rPr>
        <w:t xml:space="preserve"> </w:t>
      </w:r>
      <w:r>
        <w:rPr>
          <w:u w:val="single"/>
        </w:rPr>
        <w:t xml:space="preserve"> </w:t>
      </w:r>
      <w:r>
        <w:rPr>
          <w:u w:val="single"/>
        </w:rPr>
        <w:t xml:space="preserve">stearyl tartrate;</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synthetic or artificial vanillin;</w:t>
      </w:r>
    </w:p>
    <w:p w:rsidR="003F3435" w:rsidRDefault="0032493E">
      <w:pPr>
        <w:spacing w:line="480" w:lineRule="auto"/>
        <w:ind w:firstLine="1440"/>
        <w:jc w:val="both"/>
      </w:pPr>
      <w:r>
        <w:rPr>
          <w:u w:val="single"/>
        </w:rPr>
        <w:t xml:space="preserve">(47)</w:t>
      </w:r>
      <w:r>
        <w:rPr>
          <w:u w:val="single"/>
        </w:rPr>
        <w:t xml:space="preserve"> </w:t>
      </w:r>
      <w:r>
        <w:rPr>
          <w:u w:val="single"/>
        </w:rPr>
        <w:t xml:space="preserve"> </w:t>
      </w:r>
      <w:r>
        <w:rPr>
          <w:u w:val="single"/>
        </w:rPr>
        <w:t xml:space="preserve">synthetic trans fatty acid;</w:t>
      </w:r>
    </w:p>
    <w:p w:rsidR="003F3435" w:rsidRDefault="0032493E">
      <w:pPr>
        <w:spacing w:line="480" w:lineRule="auto"/>
        <w:ind w:firstLine="1440"/>
        <w:jc w:val="both"/>
      </w:pPr>
      <w:r>
        <w:rPr>
          <w:u w:val="single"/>
        </w:rPr>
        <w:t xml:space="preserve">(48)</w:t>
      </w:r>
      <w:r>
        <w:rPr>
          <w:u w:val="single"/>
        </w:rPr>
        <w:t xml:space="preserve"> </w:t>
      </w:r>
      <w:r>
        <w:rPr>
          <w:u w:val="single"/>
        </w:rPr>
        <w:t xml:space="preserve"> </w:t>
      </w:r>
      <w:r>
        <w:rPr>
          <w:u w:val="single"/>
        </w:rPr>
        <w:t xml:space="preserve">thiodipropionic acid;</w:t>
      </w:r>
    </w:p>
    <w:p w:rsidR="003F3435" w:rsidRDefault="0032493E">
      <w:pPr>
        <w:spacing w:line="480" w:lineRule="auto"/>
        <w:ind w:firstLine="1440"/>
        <w:jc w:val="both"/>
      </w:pPr>
      <w:r>
        <w:rPr>
          <w:u w:val="single"/>
        </w:rPr>
        <w:t xml:space="preserve">(49)</w:t>
      </w:r>
      <w:r>
        <w:rPr>
          <w:u w:val="single"/>
        </w:rPr>
        <w:t xml:space="preserve"> </w:t>
      </w:r>
      <w:r>
        <w:rPr>
          <w:u w:val="single"/>
        </w:rPr>
        <w:t xml:space="preserve"> </w:t>
      </w:r>
      <w:r>
        <w:rPr>
          <w:u w:val="single"/>
        </w:rPr>
        <w:t xml:space="preserve">titanium dioxide;</w:t>
      </w:r>
    </w:p>
    <w:p w:rsidR="003F3435" w:rsidRDefault="0032493E">
      <w:pPr>
        <w:spacing w:line="480" w:lineRule="auto"/>
        <w:ind w:firstLine="1440"/>
        <w:jc w:val="both"/>
      </w:pPr>
      <w:r>
        <w:rPr>
          <w:u w:val="single"/>
        </w:rPr>
        <w:t xml:space="preserve">(50)</w:t>
      </w:r>
      <w:r>
        <w:rPr>
          <w:u w:val="single"/>
        </w:rPr>
        <w:t xml:space="preserve"> </w:t>
      </w:r>
      <w:r>
        <w:rPr>
          <w:u w:val="single"/>
        </w:rPr>
        <w:t xml:space="preserve"> </w:t>
      </w:r>
      <w:r>
        <w:rPr>
          <w:u w:val="single"/>
        </w:rPr>
        <w:t xml:space="preserve">toluene;</w:t>
      </w:r>
    </w:p>
    <w:p w:rsidR="003F3435" w:rsidRDefault="0032493E">
      <w:pPr>
        <w:spacing w:line="480" w:lineRule="auto"/>
        <w:ind w:firstLine="1440"/>
        <w:jc w:val="both"/>
      </w:pPr>
      <w:r>
        <w:rPr>
          <w:u w:val="single"/>
        </w:rPr>
        <w:t xml:space="preserve">(51)</w:t>
      </w:r>
      <w:r>
        <w:rPr>
          <w:u w:val="single"/>
        </w:rPr>
        <w:t xml:space="preserve"> </w:t>
      </w:r>
      <w:r>
        <w:rPr>
          <w:u w:val="single"/>
        </w:rPr>
        <w:t xml:space="preserve"> </w:t>
      </w:r>
      <w:r>
        <w:rPr>
          <w:u w:val="single"/>
        </w:rPr>
        <w:t xml:space="preserve">yellow 5 (CAS 1934-21-0); and</w:t>
      </w:r>
    </w:p>
    <w:p w:rsidR="003F3435" w:rsidRDefault="0032493E">
      <w:pPr>
        <w:spacing w:line="480" w:lineRule="auto"/>
        <w:ind w:firstLine="1440"/>
        <w:jc w:val="both"/>
      </w:pPr>
      <w:r>
        <w:rPr>
          <w:u w:val="single"/>
        </w:rPr>
        <w:t xml:space="preserve">(52)</w:t>
      </w:r>
      <w:r>
        <w:rPr>
          <w:u w:val="single"/>
        </w:rPr>
        <w:t xml:space="preserve"> </w:t>
      </w:r>
      <w:r>
        <w:rPr>
          <w:u w:val="single"/>
        </w:rPr>
        <w:t xml:space="preserve"> </w:t>
      </w:r>
      <w:r>
        <w:rPr>
          <w:u w:val="single"/>
        </w:rPr>
        <w:t xml:space="preserve">yellow 6 (CAS 2783-94-0).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warning label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following statement if the food contains an ingredient listed in Subsection (a), printed in a font size not smaller than the smallest font used to disclose other consumer information required by the United States Food and Drug Administration:</w:t>
      </w:r>
    </w:p>
    <w:p w:rsidR="003F3435" w:rsidRDefault="0032493E">
      <w:pPr>
        <w:spacing w:line="480" w:lineRule="auto"/>
        <w:ind w:firstLine="1440"/>
        <w:jc w:val="both"/>
      </w:pPr>
      <w:r>
        <w:rPr>
          <w:u w:val="single"/>
        </w:rPr>
        <w:t xml:space="preserve">"WARNING: This product contains an ingredient that is not recommended for human consumption by the appropriate authority in Australia, Canada, the European Union, or the United Kingdom.";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a prominent and reasonably visible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sufficiently high contrast with the immediate background to ensure the warning is likely to be seen and understood by the ordinary individual under customary conditions of purchase and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food manufacturer or retailer that offers a product described by Subsection (a) for sale in this state on the manufacturer's or retailer's Internet website shall disclose to the consumer all labeling information required under Subsection (b) and department rule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a legible statement on the manufacturer's or retailer's Internet website on which the product is offered for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communicating the information to the consumer.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ingredient used in a product not intended for human consumption;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labeled, prepared, served, or sold in a restaurant or retail establishment.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create a private cause of action for a violation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this section, "food manufacturer"</w:t>
      </w:r>
      <w:r>
        <w:rPr>
          <w:u w:val="single"/>
        </w:rPr>
        <w:t xml:space="preserve"> </w:t>
      </w:r>
      <w:r>
        <w:rPr>
          <w:u w:val="single"/>
        </w:rPr>
        <w:t xml:space="preserve">includes any manufacturer that offers a food product for sale in this state, regardless of where the product was originally produced.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431.0816.</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If the attorney general believes a manufacturer has violated or is violating Section 431.0815, the attorney general may bring an action on behalf of this state to enjoin the manufacturer from violating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seeking an injunction under Subsection (a), the attorney general may request and the court may order any other relief that may be in the public interest,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 civil penalty in an amount not to exceed $50,000 per day for each distinct food product in violation of Section 431.0815;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requiring reimbursement to this state for the reasonable value of investigating and bringing an enforcement action for a violation of Section 431.0815.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MEDICAL EDUCATION IN NUTRITION AND METABOLIC HEALTH.  (a)  As part of continuing medical education requirements under Section 204.1562, a license holder shall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medical board, on recommendations of the physician assistant board, shall adopt rules to implement this section.  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G, Chapter 301, Occupations Code, is amended by adding Section 301.309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301.309.</w:t>
      </w:r>
      <w:r>
        <w:rPr>
          <w:u w:val="single"/>
        </w:rPr>
        <w:t xml:space="preserve"> </w:t>
      </w:r>
      <w:r>
        <w:rPr>
          <w:u w:val="single"/>
        </w:rPr>
        <w:t xml:space="preserve"> </w:t>
      </w:r>
      <w:r>
        <w:rPr>
          <w:u w:val="single"/>
        </w:rPr>
        <w:t xml:space="preserve">CONTINUING EDUCATION IN NUTRITION AND METABOLIC HEALTH.  (a)  As part of continuing education requirements under Section 301.303, a license holder shall complete, in accordance with this section and rules adopted under this section, continuing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G, Chapter 701, Occupations Code, is amended by adding Sections 701.302 and 701.303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701.302.</w:t>
      </w:r>
      <w:r>
        <w:rPr>
          <w:u w:val="single"/>
        </w:rPr>
        <w:t xml:space="preserve"> </w:t>
      </w:r>
      <w:r>
        <w:rPr>
          <w:u w:val="single"/>
        </w:rPr>
        <w:t xml:space="preserve"> </w:t>
      </w:r>
      <w:r>
        <w:rPr>
          <w:u w:val="single"/>
        </w:rPr>
        <w:t xml:space="preserve">CONTINUING EDUCATION REQUIREMENTS.  The commission by rule shall adopt and the department shall monitor and enforce a program for the continuing education of license holders as a condition for license renewal.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license holder to complete not more than 12 hours of continuing education as a prerequisite to renewal of the license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a process to assess a license holder's participation in continuing education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701.303.</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As part of the continuing education requirements under Section 701.302, a license holder shall complete, in accordance with this section and rules adopted under this section, continuing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to implement this section. 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education required by this section based on the nutritional guidelines recommended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w:t>
      </w:r>
      <w:r xml:space="preserve">
        <w:t> </w:t>
      </w:r>
      <w:r xml:space="preserve">
        <w:t> </w:t>
      </w:r>
      <w:r>
        <w:t xml:space="preserve">The commission or department may refuse to renew the license of a person who fails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pay an administrative penalty imposed under Subchapter K, unless enforcement of the penalty is stayed or a court has ordered that the administrative penalty is not owed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the continuing education requirements under Section 701.302</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Section 28.002(l), Education Code, as amended by this Act, applies only to students entering the sixth grade during the 2026-2027 school year or a later school year.  For students entering a grade above sixth grade during the 2026-2027 school year, Section 28.002(l), Education Code, as that section existed before amendment by this Act, applies, and that section is continued in effect for that purpose.</w:t>
      </w:r>
    </w:p>
    <w:p w:rsidR="003F3435" w:rsidRDefault="0032493E">
      <w:pPr>
        <w:spacing w:line="480" w:lineRule="auto"/>
        <w:ind w:firstLine="720"/>
        <w:jc w:val="both"/>
      </w:pPr>
      <w:r>
        <w:t xml:space="preserve">(b)</w:t>
      </w:r>
      <w:r xml:space="preserve">
        <w:t> </w:t>
      </w:r>
      <w:r xml:space="preserve">
        <w:t> </w:t>
      </w:r>
      <w:r>
        <w:t xml:space="preserve">Sections 28.002(u) and 28.0115, Education Code, as added by this Act, apply beginning with the 2027-2028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51.3025, Education Code, as added by this Act, applies beginning with entering students enrolling in an associate or baccalaureate degree program at a public institution of higher education on or after July 1, 2027.</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w:t>
      </w:r>
      <w:r>
        <w:t xml:space="preserve"> </w:t>
      </w:r>
      <w:r>
        <w:t xml:space="preserve">Not later than July 1, 2027, a health-related institution of higher education shall develop and implement curriculum required by Sections 63.0025, 63.103, 63.2025, and 63.303, Education Code, as added by this Act, to remain eligible for funding under those sections.</w:t>
      </w:r>
    </w:p>
    <w:p w:rsidR="003F3435" w:rsidRDefault="0032493E">
      <w:pPr>
        <w:spacing w:line="480" w:lineRule="auto"/>
        <w:ind w:firstLine="720"/>
        <w:jc w:val="both"/>
      </w:pPr>
      <w:r>
        <w:t xml:space="preserve">(b)</w:t>
      </w:r>
      <w:r xml:space="preserve">
        <w:t> </w:t>
      </w:r>
      <w:r xml:space="preserve">
        <w:t> </w:t>
      </w:r>
      <w:r>
        <w:t xml:space="preserve">A health-related institution of higher education is not required to comply with Sections 63.0025, 63.103, 63.2025, and 63.303, Education Code, as added by this Act, until July 1, 2027.</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w:t>
      </w:r>
      <w:r>
        <w:t xml:space="preserve"> </w:t>
      </w:r>
      <w:r>
        <w:t xml:space="preserve">Not later than December 31, 2025, the governor shall appoint the members of the Texas Nutrition Advisory Committee established under Chapter 119B, Health and Safety Code, as added by this Act, and shall provide for staggered member terms as required by that chapter.</w:t>
      </w:r>
    </w:p>
    <w:p w:rsidR="003F3435" w:rsidRDefault="0032493E">
      <w:pPr>
        <w:spacing w:line="480" w:lineRule="auto"/>
        <w:ind w:firstLine="720"/>
        <w:jc w:val="both"/>
      </w:pPr>
      <w:r>
        <w:t xml:space="preserve">(b)</w:t>
      </w:r>
      <w:r xml:space="preserve">
        <w:t> </w:t>
      </w:r>
      <w:r xml:space="preserve">
        <w:t> </w:t>
      </w:r>
      <w:r>
        <w:t xml:space="preserve">Not later than September 1, 2026, the Texas Nutrition Advisory Committee shall prepare and submit to the Department of State Health Services, the governor, the lieutenant governor, the speaker of the house of representatives, and each standing committee of the legislature with primary jurisdiction over health and safety the initial report required under Section 119B.005, Health and Safety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submission of the report under Subsection (b) of this section, the Department of State Health Services shall post information required under Section 119B.006, Health and Safety Code, as added by this Act, on the department's Internet website.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w:t>
      </w:r>
      <w:r xml:space="preserve">
        <w:t> </w:t>
      </w:r>
      <w:r xml:space="preserve">
        <w:t> </w:t>
      </w:r>
      <w:r>
        <w:t xml:space="preserve">Not later than December 31, 2025, the executive commissioner of the Health and Human Services Commission shall adopt rules to implement changes made by Section 431.0815,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 431.0815, Health and Safety Code, as added by this Act, applies only to a food product label developed or copyrighted on or after January 1, 2027.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w:t>
      </w:r>
      <w:r xml:space="preserve">
        <w:t> </w:t>
      </w:r>
      <w:r xml:space="preserve">
        <w:t> </w:t>
      </w:r>
      <w:r>
        <w:t xml:space="preserve">Section 156.061,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w:t>
      </w:r>
      <w:r xml:space="preserve">
        <w:t> </w:t>
      </w:r>
      <w:r xml:space="preserve">
        <w:t> </w:t>
      </w:r>
      <w:r>
        <w:t xml:space="preserve">Section 204.1563,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w:t>
      </w:r>
      <w:r xml:space="preserve">
        <w:t> </w:t>
      </w:r>
      <w:r xml:space="preserve">
        <w:t> </w:t>
      </w:r>
      <w:r>
        <w:t xml:space="preserve">Section 301.309,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Board of Nursing shall adopt the rules required by Section 301.309, Occupations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Sections 701.302 and 701.303, Occupations Code, as added by this Act, apply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Commission of Licensing and Regulation shall adopt the rules required by Sections 701.302 and 701.303, Occupations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