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May</w:t>
      </w:r>
      <w:r xml:space="preserve">
        <w:t> </w:t>
      </w:r>
      <w:r>
        <w:t xml:space="preserve">16,</w:t>
      </w:r>
      <w:r xml:space="preserve">
        <w:t> </w:t>
      </w:r>
      <w:r>
        <w:t xml:space="preserve">2025, read first time and referred to Committee on Education K-16; May</w:t>
      </w:r>
      <w:r xml:space="preserve">
        <w:t> </w:t>
      </w:r>
      <w:r>
        <w:t xml:space="preserve">25,</w:t>
      </w:r>
      <w:r xml:space="preserve">
        <w:t> </w:t>
      </w:r>
      <w:r>
        <w:t xml:space="preserve">2025, reported favorably by the following vote:</w:t>
      </w:r>
      <w:r>
        <w:t xml:space="preserve"> </w:t>
      </w:r>
      <w:r>
        <w:t xml:space="preserve"> </w:t>
      </w:r>
      <w:r>
        <w:t xml:space="preserve">Yeas 9,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courses in personal financial literacy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 Education Code, is amended by amending Subsections (b-1) and (b-23)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allow a student to comply with the curriculum requirement under Subsection (b-1)(4) for a one-half credit in personal financial literacy by successfully completing an advanced placement course designated by the State Board of Education as containing substantively similar and rigorous academic content.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2025-2026 school year or a later school year. </w:t>
      </w:r>
      <w:r>
        <w:t xml:space="preserve"> </w:t>
      </w:r>
      <w:r>
        <w:t xml:space="preserve">For students entering a grade above ninth grade during the 2025-2026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