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Gerdes, et al.</w:t>
      </w:r>
      <w:r xml:space="preserve">
        <w:tab wTab="150" tlc="none" cTlc="0"/>
      </w:r>
      <w:r>
        <w:t xml:space="preserve">H.B.</w:t>
      </w:r>
      <w:r xml:space="preserve">
        <w:t> </w:t>
      </w:r>
      <w:r>
        <w:t xml:space="preserve">No.</w:t>
      </w:r>
      <w:r xml:space="preserve">
        <w:t> </w:t>
      </w:r>
      <w:r>
        <w:t xml:space="preserve">29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water losses reported by certain municipally owned utilities to the Texas Water Development Board; authorizing administrative penalties.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B, Chapter 16, Water Code, is amended by adding Section 16.0122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16.0122.</w:t>
      </w:r>
      <w:r>
        <w:rPr>
          <w:u w:val="single"/>
        </w:rPr>
        <w:t xml:space="preserve"> </w:t>
      </w:r>
      <w:r>
        <w:rPr>
          <w:u w:val="single"/>
        </w:rPr>
        <w:t xml:space="preserve"> </w:t>
      </w:r>
      <w:r>
        <w:rPr>
          <w:u w:val="single"/>
        </w:rPr>
        <w:t xml:space="preserve">WATER AUDIT VALIDATION BY CERTAIN MUNICIPALLY OWNED UTILITIES.  (a) In this section, "municipally owned utility" has the meaning assigned by Section 13.002.</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section applies only to a municipally owned utility that provides potable water through more than 150,000 service connections.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municipally owned utility that has filed an annual water audit under Section 16.0121 with the board indicating that the utility's real water loss meets or exceeds the threshold established by rule under Section 16.0121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not later than the 180th day after the date the audit was filed, complete a validation of the audit to ensure the utility accurately assessed potential inaccuracies in data used in the audit;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not later than the first anniversary of the date the audit was filed, develop and submit to the board a water loss mitigation plan.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municipally owned utility that has filed an annual water audit under Section 16.0121 with the board indicating that the utility's real water loss meets or exceeds the threshold established by rule under Section 16.0121 for five consecutive audit years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complete a more detailed validation of the utility's most current water audit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determine whether the implementation of water leakage reduction strategies is appropriate;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investigate the accuracy of the utility's billing data; and</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update the water loss mitigation plan developed by the utility under Subsection (c)(2) accordingly.</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Each validation required under Subsection (c)(1) must be performed by a person who has completed water audit validation training and is certified to conduct the validation.  The validation: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must follow board validation guidelines;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may not be conducted by a board staff member or the person who submitted the water audit.</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Each water loss mitigation plan developed under Subsection (c)(2), as updated under Subsection (d)(2), if applicable, must be incorporated into the utility's most recent water conservation plan required under Section 13.146 not later than the first anniversary of the date the mitigation plan is completed.  As part of the utility's annual water conservation report under Section 16.402(b), the utility shall report the utility's progress in implementing the mitigation plan.  The mitigation plan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one-year, three-year, five-year, and ten-year goals for water loss mitigation;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descriptions of water loss mitigation projects or programs designed to meet those goals;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estimated financial savings from the implementation of the projects or programs under Subdivision (2);</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estimated water savings from the implementation of the projects or programs under Subdivision (2);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cost estimates for implementing each project or program under Subdivision (2).</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If the utility must complete a validation under Subsection (d)(1), the utility shall update the water loss mitigation plan developed by the utility under Subsection (c)(2) to revise the utility's one-year, three-year, five-year, and ten-year goals.</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Each validation required under Subsection (d)(1) must be performed by a person who is experienced in performing required validation activities.  The validation: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must be based on the recommendations from the utility's validation performed under Subsection (c)(1);</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must be completed in consultation with the person who completed the validation under Subsection (c)(1);</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must be conducted in accordance with industry standards;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may not be conducted by a board staff member or the person who submitted the water audit.</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The commission shall assess against a municipally owned utility an administrative penalty of $25,000 if the utility fails to develop and submit to the board a water loss mitigation plan required by Subsection (c)(2).</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