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water losses reported by certain municipally owned utilities to the Texas Water Development Board; authorizing administrative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16, Water Code, is amended by adding Section 16.0122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16.0122.</w:t>
      </w:r>
      <w:r>
        <w:rPr>
          <w:u w:val="single"/>
        </w:rPr>
        <w:t xml:space="preserve"> </w:t>
      </w:r>
      <w:r>
        <w:rPr>
          <w:u w:val="single"/>
        </w:rPr>
        <w:t xml:space="preserve"> </w:t>
      </w:r>
      <w:r>
        <w:rPr>
          <w:u w:val="single"/>
        </w:rPr>
        <w:t xml:space="preserve">WATER AUDIT VALIDATION BY CERTAIN MUNICIPALLY OWNED UTILITIES.  (a) In this section, "municipally owned utility" has the meaning assigned by Section 13.002.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municipally owned utility that provides potable water through more than 150,000 service connections.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municipally owned utility that has filed an annual water audit under Section 16.0121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the 180th day after the date the audit was filed, complete a validation of the audit to ensure the utility accurately assessed potential inaccuracies in data used in the audit;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later than the first anniversary of the date the audit was filed, develop and submit to the board a water loss mitigation plan.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December 31, 2030, and every 10 years thereafter, a municipally owned utility that has filed an annual water audit under Section 16.0121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complete a more detailed validation of the utility's most current water audit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determine whether the implementation of water leakage reduction strategies is appropriate;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investigate the accuracy of the utility's billing data;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update the water loss mitigation plan developed by the utility under Subsection (c)(2) accordingly.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validation required under Subsection (c)(1) must be performed by a person who has completed water audit validation training and is certified to conduct the validation.  The validation: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follow board validation guidelines;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be conducted by a board staff member or the person who submitted the water audit.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Each water loss mitigation plan developed under Subsection (c)(2), as updated under Subsection (d)(2), if applicable, must be incorporated into the utility's most recent water conservation plan required under Section 13.146 not later than the first anniversary of the date the mitigation plan is completed.  As part of the utility's annual water conservation report under Section 16.402(b), the utility shall report the utility's progress in implementing the mitigation plan.  The mitigation plan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one-year, three-year, five-year, and ten-year goals for water loss mitigation;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descriptions of water loss mitigation projects or programs designed to meet those goals;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estimated financial savings from the implementation of the projects or programs under Subdivision (2);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estimated water savings from the implementation of the projects or programs under Subdivision (2);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cost estimates for implementing each project or program under Subdivision (2).</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the utility must complete a validation under Subsection (d)(1), the utility shall update the water loss mitigation plan developed by the utility under Subsection (c)(2) to revise the utility's one-year, three-year, five-year, and ten-year goals.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Each validation required under Subsection (d)(1) must be performed by a person who is experienced in performing required validation activities.  The validation: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based on the recommendations from the utility's validation performed under Subsection (c)(1);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be completed in consultation with the person who completed the validation under Subsection (c)(1);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must be conducted in accordance with industry standards;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may not be conducted by a board staff member or the person who submitted the water audit.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 shall assess against a municipally owned utility an administrative penalty of $25,000 if the utility fails to develop and submit to the board a water loss mitigation plan required by Subsection (c)(2).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29 was passed by the House on April 25, 2025, by the following vote:</w:t>
      </w:r>
      <w:r xml:space="preserve">
        <w:t> </w:t>
      </w:r>
      <w:r xml:space="preserve">
        <w:t> </w:t>
      </w:r>
      <w:r>
        <w:t xml:space="preserve">Yeas 138, Nays 0, 2 present, not voting; and that the House concurred in Senate amendments to H.B. No. 29 on May 19, 2025, by the following vote:</w:t>
      </w:r>
      <w:r xml:space="preserve">
        <w:t> </w:t>
      </w:r>
      <w:r xml:space="preserve">
        <w:t> </w:t>
      </w:r>
      <w:r>
        <w:t xml:space="preserve">Yeas 129,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29 was passed by the Senate, with amendments, on May 8, 2025,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