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Moody, Oliverson, et al.</w:t>
      </w:r>
      <w:r xml:space="preserve">
        <w:tab wTab="150" tlc="none" cTlc="0"/>
      </w:r>
      <w:r>
        <w:t xml:space="preserve">H.B.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under and the administration of the Texas Compassionate-Use Program; requiring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487.053(a),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 a dispensing organization to each applicant who satisfies the requirements established under this chapter; and</w:t>
      </w:r>
    </w:p>
    <w:p w:rsidR="003F3435" w:rsidRDefault="0032493E">
      <w:pPr>
        <w:spacing w:line="480" w:lineRule="auto"/>
        <w:ind w:firstLine="1440"/>
        <w:jc w:val="both"/>
      </w:pPr>
      <w:r>
        <w:t xml:space="preserve">(2)</w:t>
      </w:r>
      <w:r xml:space="preserve">
        <w:t> </w:t>
      </w:r>
      <w:r xml:space="preserve">
        <w:t> </w:t>
      </w:r>
      <w:r>
        <w:t xml:space="preserve">register directors, </w:t>
      </w:r>
      <w:r>
        <w:rPr>
          <w:u w:val="single"/>
        </w:rPr>
        <w:t xml:space="preserve">owners,</w:t>
      </w:r>
      <w:r>
        <w:t xml:space="preserve"> managers, </w:t>
      </w:r>
      <w:r>
        <w:rPr>
          <w:u w:val="single"/>
        </w:rPr>
        <w:t xml:space="preserve">members,</w:t>
      </w:r>
      <w:r>
        <w:t xml:space="preserve"> and employees of each dispensing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487.054, Health and Safety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within the registry regarding patient identification, including the fact that a person is listed as a patient in the registry, is confidential and may only be accessed by the department, registered physicians, and dispensing organizations for the purposes of this chapter. </w:t>
      </w:r>
      <w:r>
        <w:rPr>
          <w:u w:val="single"/>
        </w:rPr>
        <w:t xml:space="preserve"> </w:t>
      </w:r>
      <w:r>
        <w:rPr>
          <w:u w:val="single"/>
        </w:rPr>
        <w:t xml:space="preserve">Confidential information under this subsection may not be disclosed except as authorized under this chapter and is not subject to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on request by a patient, the department may release patient information contained in the registry to the patient or a person designated by the patient.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487.101, Health and Safety Code, is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487.102, Health and Safety Code, is amended to read as follows:</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 </w:t>
      </w:r>
      <w:r>
        <w:t xml:space="preserve">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w:t>
      </w:r>
      <w:r>
        <w:rPr>
          <w:u w:val="single"/>
        </w:rPr>
        <w:t xml:space="preserve">owner,</w:t>
      </w:r>
      <w:r>
        <w:t xml:space="preserve"> </w:t>
      </w:r>
      <w:r>
        <w:t xml:space="preserve">manager, </w:t>
      </w:r>
      <w:r>
        <w:rPr>
          <w:u w:val="single"/>
        </w:rPr>
        <w:t xml:space="preserve">member,</w:t>
      </w:r>
      <w:r>
        <w:t xml:space="preserve"> </w:t>
      </w:r>
      <w:r>
        <w:t xml:space="preserve">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w:t xml:space="preserve">[</w:t>
      </w:r>
      <w:r>
        <w:rPr>
          <w:strike/>
        </w:rPr>
        <w:t xml:space="preserve">,</w:t>
      </w:r>
      <w:r>
        <w:t xml:space="preserve">] the name and address of each of the applicant's directors, </w:t>
      </w:r>
      <w:r>
        <w:rPr>
          <w:u w:val="single"/>
        </w:rPr>
        <w:t xml:space="preserve">owners,</w:t>
      </w:r>
      <w:r>
        <w:t xml:space="preserve"> </w:t>
      </w:r>
      <w:r>
        <w:t xml:space="preserve">managers, </w:t>
      </w:r>
      <w:r>
        <w:rPr>
          <w:u w:val="single"/>
        </w:rPr>
        <w:t xml:space="preserve">members,</w:t>
      </w:r>
      <w:r>
        <w:t xml:space="preserve"> </w:t>
      </w:r>
      <w:r>
        <w:t xml:space="preserve">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act on an application submitted under Subsection (b) not later than the 180th day after the date the application is submitted to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regarding the design and security requirements for satellite locations.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dispensing organization may not operate more than one satellite location in a public health region designated under Section 121.007 until the dispensing organization operates one satellite location in each public health region.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location previously approved by the department as a patient pickup location before September 1, 2025, is considered to be approved as a satellite location under Subsection (b) for purposes of this section and is permitted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as a patient pickup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securely store low-THC cannabis for distribution.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487.104, Health and Safety Code, is amended by amending Subsection (b) and adding Subsections (b-1), (d), (d-1), (e), and (f)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if</w:t>
      </w:r>
      <w:r>
        <w:t xml:space="preserve"> [</w:t>
      </w:r>
      <w:r>
        <w:rPr>
          <w:strike/>
        </w:rPr>
        <w:t xml:space="preserve">If</w:t>
      </w:r>
      <w:r>
        <w:t xml:space="preserve">] the department denies the issuance or renewal of a license under Subsection (a), the applicant is entitled to a hearing.  Chapter 2001, Government Code, applies to a proceeding under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department denies the issuance of a license under this section to an applicant that has never held a license under this section, the applicant is not entitled to a hearing.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15 licenses under this section to dispensing organizations in this state provided that the department receives applications from a sufficient number of applicants meeting the requirements for eligibility under this subchapter.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department shall issue initial licenses to dispensing organizations under this section based on a competitive evaluation of applicant qualifications relative to other applicants.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shall adopt rules to establish a timeline for reviewing and taking action on an application submitted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487, Health and Safety Code, is amended by adding Section 487.1045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a dispensing organization is using a license issued under this subchapter to dispense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the license of a dispensing organization that does not dispense low-THC cannabis within the time required by this section or that discontinues dispensing low-THC cannabis during the term of a license.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487.105, Health and Safety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An applicant for the issuance or renewal of a license to operate as a dispensing organization shall provide the department with the applicant's name and the name of each of the applicant's directors, </w:t>
      </w:r>
      <w:r>
        <w:rPr>
          <w:u w:val="single"/>
        </w:rPr>
        <w:t xml:space="preserve">owners,</w:t>
      </w:r>
      <w:r>
        <w:t xml:space="preserve"> managers, </w:t>
      </w:r>
      <w:r>
        <w:rPr>
          <w:u w:val="single"/>
        </w:rPr>
        <w:t xml:space="preserve">members,</w:t>
      </w:r>
      <w:r>
        <w:t xml:space="preserve"> </w:t>
      </w:r>
      <w:r>
        <w:t xml:space="preserve">and employees.</w:t>
      </w:r>
    </w:p>
    <w:p w:rsidR="003F3435" w:rsidRDefault="0032493E">
      <w:pPr>
        <w:spacing w:line="480" w:lineRule="auto"/>
        <w:ind w:firstLine="720"/>
        <w:jc w:val="both"/>
      </w:pPr>
      <w:r>
        <w:t xml:space="preserve">(b)</w:t>
      </w:r>
      <w:r xml:space="preserve">
        <w:t> </w:t>
      </w:r>
      <w:r xml:space="preserve">
        <w:t> </w:t>
      </w:r>
      <w:r>
        <w:t xml:space="preserve">Before a dispensing organization licensee hires a manager or employee for the organization, the licensee must provide the department with the name of the prospective manager or employee.  The licensee may not transfer the license to another person before that prospective applicant and the applicant's directors, </w:t>
      </w:r>
      <w:r>
        <w:rPr>
          <w:u w:val="single"/>
        </w:rPr>
        <w:t xml:space="preserve">owners,</w:t>
      </w:r>
      <w:r>
        <w:t xml:space="preserve"> managers, </w:t>
      </w:r>
      <w:r>
        <w:rPr>
          <w:u w:val="single"/>
        </w:rPr>
        <w:t xml:space="preserve">members,</w:t>
      </w:r>
      <w:r>
        <w:t xml:space="preserve"> and employees pass a criminal history background check and are registered as required by Subchapter 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section does not apply to a director, owner, manager, member, or employee who does not exercise direct control over the daily operations of the dispensing organization.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487, Health and Safety Code, is amended by adding Section 487.1071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487.1071.</w:t>
      </w:r>
      <w:r>
        <w:rPr>
          <w:u w:val="single"/>
        </w:rPr>
        <w:t xml:space="preserve"> </w:t>
      </w:r>
      <w:r>
        <w:rPr>
          <w:u w:val="single"/>
        </w:rPr>
        <w:t xml:space="preserve"> </w:t>
      </w:r>
      <w:r>
        <w:rPr>
          <w:u w:val="single"/>
        </w:rPr>
        <w:t xml:space="preserve">CANNABINOIDS ELIGIBLE FOR DISPENSING.  (a)  In this section, "phytocannabinoid" means a chemical substance: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naturally by a plant of the species Cannabis sativa L. that is separated from the plant by a mechanical or chemical extraction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created naturally by a plant of the species Cannabis sativa L. that binds to or interacts with the cannabinoid receptors of the endocannabinoid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produced by decarboxylation from a naturally occurring cannabinoid acid without the use of a chemical catalyst.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may not dispense a low-THC cannabis product that contains a cannabinoid that is not a phytocannabinoid.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487.151(a),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who is a director, </w:t>
      </w:r>
      <w:r>
        <w:rPr>
          <w:u w:val="single"/>
        </w:rPr>
        <w:t xml:space="preserve">owner,</w:t>
      </w:r>
      <w:r>
        <w:t xml:space="preserve"> manager, </w:t>
      </w:r>
      <w:r>
        <w:rPr>
          <w:u w:val="single"/>
        </w:rPr>
        <w:t xml:space="preserve">member,</w:t>
      </w:r>
      <w:r>
        <w:t xml:space="preserve"> or employee of a dispensing organization must apply for and obtain a registration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169.001, Occupations Code, is amended by adding Subdivisions (2) and (6) and amending Subdivisions (3), (4), and (5)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w:t>
      </w:r>
      <w:r>
        <w:rPr>
          <w:u w:val="single"/>
        </w:rPr>
        <w:t xml:space="preserve"> </w:t>
      </w:r>
      <w:r>
        <w:rPr>
          <w:u w:val="single"/>
        </w:rPr>
        <w:t xml:space="preserve">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one percent by weight of tetrahydrocannabinols </w:t>
      </w:r>
      <w:r>
        <w:rPr>
          <w:u w:val="single"/>
        </w:rPr>
        <w:t xml:space="preserve">in each dosage unit</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inhalation,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"Veteran" means a person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military forces as defined by Section 431.001, Government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auxiliary service of one of those branches of the armed forces.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t xml:space="preserve"> </w:t>
      </w:r>
      <w:r>
        <w:rPr>
          <w:u w:val="single"/>
        </w:rPr>
        <w:t xml:space="preserve">(a)</w:t>
      </w:r>
      <w:r>
        <w:t xml:space="preserve"> </w:t>
      </w:r>
      <w:r>
        <w:t xml:space="preserve"> </w:t>
      </w:r>
      <w:r>
        <w:t xml:space="preserve">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is diagnosed with:</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epilepsy;</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 seizure disorder;</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multiple sclerosis;</w:t>
      </w:r>
    </w:p>
    <w:p w:rsidR="003F3435" w:rsidRDefault="0032493E">
      <w:pPr>
        <w:spacing w:line="480" w:lineRule="auto"/>
        <w:ind w:firstLine="3600"/>
        <w:jc w:val="both"/>
      </w:pPr>
      <w:r>
        <w:rPr>
          <w:u w:val="single"/>
        </w:rPr>
        <w:t xml:space="preserve">(d)</w:t>
      </w:r>
      <w:r xml:space="preserve">
        <w:t> </w:t>
      </w:r>
      <w:r>
        <w:t xml:space="preserve">[</w:t>
      </w:r>
      <w:r>
        <w:rPr>
          <w:strike/>
        </w:rPr>
        <w:t xml:space="preserve">(iv)</w:t>
      </w:r>
      <w:r>
        <w:t xml:space="preserve">]</w:t>
      </w:r>
      <w:r xml:space="preserve">
        <w:t> </w:t>
      </w:r>
      <w:r xml:space="preserve">
        <w:t> </w:t>
      </w:r>
      <w:r>
        <w:t xml:space="preserve">spasticity;</w:t>
      </w:r>
    </w:p>
    <w:p w:rsidR="003F3435" w:rsidRDefault="0032493E">
      <w:pPr>
        <w:spacing w:line="480" w:lineRule="auto"/>
        <w:ind w:firstLine="3600"/>
        <w:jc w:val="both"/>
      </w:pPr>
      <w:r>
        <w:rPr>
          <w:u w:val="single"/>
        </w:rPr>
        <w:t xml:space="preserve">(e)</w:t>
      </w:r>
      <w:r xml:space="preserve">
        <w:t> </w:t>
      </w:r>
      <w:r>
        <w:t xml:space="preserve">[</w:t>
      </w:r>
      <w:r>
        <w:rPr>
          <w:strike/>
        </w:rPr>
        <w:t xml:space="preserve">(v)</w:t>
      </w:r>
      <w:r>
        <w:t xml:space="preserve">]</w:t>
      </w:r>
      <w:r xml:space="preserve">
        <w:t> </w:t>
      </w:r>
      <w:r xml:space="preserve">
        <w:t> </w:t>
      </w:r>
      <w:r>
        <w:t xml:space="preserve">amyotrophic lateral sclerosis;</w:t>
      </w:r>
    </w:p>
    <w:p w:rsidR="003F3435" w:rsidRDefault="0032493E">
      <w:pPr>
        <w:spacing w:line="480" w:lineRule="auto"/>
        <w:ind w:firstLine="3600"/>
        <w:jc w:val="both"/>
      </w:pPr>
      <w:r>
        <w:rPr>
          <w:u w:val="single"/>
        </w:rPr>
        <w:t xml:space="preserve">(f)</w:t>
      </w:r>
      <w:r xml:space="preserve">
        <w:t> </w:t>
      </w:r>
      <w:r>
        <w:t xml:space="preserve">[</w:t>
      </w:r>
      <w:r>
        <w:rPr>
          <w:strike/>
        </w:rPr>
        <w:t xml:space="preserve">(vi)</w:t>
      </w:r>
      <w:r>
        <w:t xml:space="preserve">]</w:t>
      </w:r>
      <w:r xml:space="preserve">
        <w:t> </w:t>
      </w:r>
      <w:r xml:space="preserve">
        <w:t> </w:t>
      </w:r>
      <w:r>
        <w:t xml:space="preserve">autism;</w:t>
      </w:r>
    </w:p>
    <w:p w:rsidR="003F3435" w:rsidRDefault="0032493E">
      <w:pPr>
        <w:spacing w:line="480" w:lineRule="auto"/>
        <w:ind w:firstLine="3600"/>
        <w:jc w:val="both"/>
      </w:pPr>
      <w:r>
        <w:rPr>
          <w:u w:val="single"/>
        </w:rPr>
        <w:t xml:space="preserve">(g)</w:t>
      </w:r>
      <w:r xml:space="preserve">
        <w:t> </w:t>
      </w:r>
      <w:r>
        <w:t xml:space="preserve">[</w:t>
      </w:r>
      <w:r>
        <w:rPr>
          <w:strike/>
        </w:rPr>
        <w:t xml:space="preserve">(vii)</w:t>
      </w:r>
      <w:r>
        <w:t xml:space="preserve">]</w:t>
      </w:r>
      <w:r xml:space="preserve">
        <w:t> </w:t>
      </w:r>
      <w:r xml:space="preserve">
        <w:t> </w:t>
      </w:r>
      <w:r>
        <w:t xml:space="preserve">cancer;</w:t>
      </w:r>
    </w:p>
    <w:p w:rsidR="003F3435" w:rsidRDefault="0032493E">
      <w:pPr>
        <w:spacing w:line="480" w:lineRule="auto"/>
        <w:ind w:firstLine="3600"/>
        <w:jc w:val="both"/>
      </w:pPr>
      <w:r>
        <w:rPr>
          <w:u w:val="single"/>
        </w:rPr>
        <w:t xml:space="preserve">(h)</w:t>
      </w:r>
      <w:r xml:space="preserve">
        <w:t> </w:t>
      </w:r>
      <w:r>
        <w:t xml:space="preserve">[</w:t>
      </w:r>
      <w:r>
        <w:rPr>
          <w:strike/>
        </w:rPr>
        <w:t xml:space="preserve">(viii)</w:t>
      </w:r>
      <w:r>
        <w:t xml:space="preserve">]</w:t>
      </w:r>
      <w:r xml:space="preserve">
        <w:t> </w:t>
      </w:r>
      <w:r xml:space="preserve">
        <w:t> </w:t>
      </w:r>
      <w:r>
        <w:t xml:space="preserve">an incurable neurodegenerative disease;</w:t>
      </w:r>
    </w:p>
    <w:p w:rsidR="003F3435" w:rsidRDefault="0032493E">
      <w:pPr>
        <w:spacing w:line="480" w:lineRule="auto"/>
        <w:ind w:firstLine="3600"/>
        <w:jc w:val="both"/>
      </w:pPr>
      <w:r>
        <w:rPr>
          <w:u w:val="single"/>
        </w:rPr>
        <w:t xml:space="preserve">(i)</w:t>
      </w:r>
      <w:r xml:space="preserve">
        <w:t> </w:t>
      </w:r>
      <w:r>
        <w:t xml:space="preserve">[</w:t>
      </w:r>
      <w:r>
        <w:rPr>
          <w:strike/>
        </w:rPr>
        <w:t xml:space="preserve">(ix)</w:t>
      </w:r>
      <w:r>
        <w:t xml:space="preserve">]</w:t>
      </w:r>
      <w:r xml:space="preserve">
        <w:t> </w:t>
      </w:r>
      <w:r xml:space="preserve">
        <w:t> </w:t>
      </w:r>
      <w:r>
        <w:t xml:space="preserve">post-traumatic stress disorder; [</w:t>
      </w:r>
      <w:r>
        <w:rPr>
          <w:strike/>
        </w:rPr>
        <w:t xml:space="preserve">or</w:t>
      </w:r>
      <w:r>
        <w:t xml:space="preserve">]</w:t>
      </w:r>
    </w:p>
    <w:p w:rsidR="003F3435" w:rsidRDefault="0032493E">
      <w:pPr>
        <w:spacing w:line="480" w:lineRule="auto"/>
        <w:ind w:firstLine="3600"/>
        <w:jc w:val="both"/>
      </w:pPr>
      <w:r>
        <w:rPr>
          <w:u w:val="single"/>
        </w:rPr>
        <w:t xml:space="preserve">(j)</w:t>
      </w:r>
      <w:r>
        <w:rPr>
          <w:u w:val="single"/>
        </w:rPr>
        <w:t xml:space="preserve"> </w:t>
      </w:r>
      <w:r>
        <w:rPr>
          <w:u w:val="single"/>
        </w:rPr>
        <w:t xml:space="preserve"> </w:t>
      </w:r>
      <w:r>
        <w:rPr>
          <w:u w:val="single"/>
        </w:rPr>
        <w:t xml:space="preserve">a condition that causes chronic pain, for which a physician would otherwise prescribe an opioid;</w:t>
      </w:r>
    </w:p>
    <w:p w:rsidR="003F3435" w:rsidRDefault="0032493E">
      <w:pPr>
        <w:spacing w:line="480" w:lineRule="auto"/>
        <w:ind w:firstLine="3600"/>
        <w:jc w:val="both"/>
      </w:pPr>
      <w:r>
        <w:rPr>
          <w:u w:val="single"/>
        </w:rPr>
        <w:t xml:space="preserve">(k)</w:t>
      </w:r>
      <w:r>
        <w:rPr>
          <w:u w:val="single"/>
        </w:rPr>
        <w:t xml:space="preserve"> </w:t>
      </w:r>
      <w:r>
        <w:rPr>
          <w:u w:val="single"/>
        </w:rPr>
        <w:t xml:space="preserve"> </w:t>
      </w:r>
      <w:r>
        <w:rPr>
          <w:u w:val="single"/>
        </w:rPr>
        <w:t xml:space="preserve">glaucoma;</w:t>
      </w:r>
    </w:p>
    <w:p w:rsidR="003F3435" w:rsidRDefault="0032493E">
      <w:pPr>
        <w:spacing w:line="480" w:lineRule="auto"/>
        <w:ind w:firstLine="3600"/>
        <w:jc w:val="both"/>
      </w:pPr>
      <w:r>
        <w:rPr>
          <w:u w:val="single"/>
        </w:rPr>
        <w:t xml:space="preserve">(l)</w:t>
      </w:r>
      <w:r>
        <w:rPr>
          <w:u w:val="single"/>
        </w:rPr>
        <w:t xml:space="preserve"> </w:t>
      </w:r>
      <w:r>
        <w:rPr>
          <w:u w:val="single"/>
        </w:rPr>
        <w:t xml:space="preserve"> </w:t>
      </w:r>
      <w:r>
        <w:rPr>
          <w:u w:val="single"/>
        </w:rPr>
        <w:t xml:space="preserve">traumatic brain injury;</w:t>
      </w:r>
    </w:p>
    <w:p w:rsidR="003F3435" w:rsidRDefault="0032493E">
      <w:pPr>
        <w:spacing w:line="480" w:lineRule="auto"/>
        <w:ind w:firstLine="3600"/>
        <w:jc w:val="both"/>
      </w:pPr>
      <w:r>
        <w:rPr>
          <w:u w:val="single"/>
        </w:rPr>
        <w:t xml:space="preserve">(m)</w:t>
      </w:r>
      <w:r>
        <w:rPr>
          <w:u w:val="single"/>
        </w:rPr>
        <w:t xml:space="preserve"> </w:t>
      </w:r>
      <w:r>
        <w:rPr>
          <w:u w:val="single"/>
        </w:rPr>
        <w:t xml:space="preserve"> </w:t>
      </w:r>
      <w:r>
        <w:rPr>
          <w:u w:val="single"/>
        </w:rPr>
        <w:t xml:space="preserve">spinal neuropathy;</w:t>
      </w:r>
    </w:p>
    <w:p w:rsidR="003F3435" w:rsidRDefault="0032493E">
      <w:pPr>
        <w:spacing w:line="480" w:lineRule="auto"/>
        <w:ind w:firstLine="3600"/>
        <w:jc w:val="both"/>
      </w:pPr>
      <w:r>
        <w:rPr>
          <w:u w:val="single"/>
        </w:rPr>
        <w:t xml:space="preserve">(n)</w:t>
      </w:r>
      <w:r>
        <w:rPr>
          <w:u w:val="single"/>
        </w:rPr>
        <w:t xml:space="preserve"> </w:t>
      </w:r>
      <w:r>
        <w:rPr>
          <w:u w:val="single"/>
        </w:rPr>
        <w:t xml:space="preserve"> </w:t>
      </w:r>
      <w:r>
        <w:rPr>
          <w:u w:val="single"/>
        </w:rPr>
        <w:t xml:space="preserve">Crohn's disease or other inflammatory bowel disease;</w:t>
      </w:r>
    </w:p>
    <w:p w:rsidR="003F3435" w:rsidRDefault="0032493E">
      <w:pPr>
        <w:spacing w:line="480" w:lineRule="auto"/>
        <w:ind w:firstLine="3600"/>
        <w:jc w:val="both"/>
      </w:pPr>
      <w:r>
        <w:rPr>
          <w:u w:val="single"/>
        </w:rPr>
        <w:t xml:space="preserve">(o)</w:t>
      </w:r>
      <w:r>
        <w:rPr>
          <w:u w:val="single"/>
        </w:rPr>
        <w:t xml:space="preserve"> </w:t>
      </w:r>
      <w:r>
        <w:rPr>
          <w:u w:val="single"/>
        </w:rPr>
        <w:t xml:space="preserve"> </w:t>
      </w:r>
      <w:r>
        <w:rPr>
          <w:u w:val="single"/>
        </w:rPr>
        <w:t xml:space="preserve">degenerative disc disease;</w:t>
      </w:r>
    </w:p>
    <w:p w:rsidR="003F3435" w:rsidRDefault="0032493E">
      <w:pPr>
        <w:spacing w:line="480" w:lineRule="auto"/>
        <w:ind w:firstLine="3600"/>
        <w:jc w:val="both"/>
      </w:pPr>
      <w:r>
        <w:rPr>
          <w:u w:val="single"/>
        </w:rPr>
        <w:t xml:space="preserve">(p)</w:t>
      </w:r>
      <w:r>
        <w:rPr>
          <w:u w:val="single"/>
        </w:rPr>
        <w:t xml:space="preserve"> </w:t>
      </w:r>
      <w:r>
        <w:rPr>
          <w:u w:val="single"/>
        </w:rPr>
        <w:t xml:space="preserve"> </w:t>
      </w:r>
      <w:r>
        <w:rPr>
          <w:u w:val="single"/>
        </w:rPr>
        <w:t xml:space="preserve">a terminal illness or a condition for which a patient is receiving hospice or palliative care;</w:t>
      </w:r>
    </w:p>
    <w:p w:rsidR="003F3435" w:rsidRDefault="0032493E">
      <w:pPr>
        <w:spacing w:line="480" w:lineRule="auto"/>
        <w:ind w:firstLine="3600"/>
        <w:jc w:val="both"/>
      </w:pPr>
      <w:r>
        <w:rPr>
          <w:u w:val="single"/>
        </w:rPr>
        <w:t xml:space="preserve">(q)</w:t>
      </w:r>
      <w:r xml:space="preserve">
        <w:t> </w:t>
      </w:r>
      <w:r>
        <w:t xml:space="preserve">[</w:t>
      </w:r>
      <w:r>
        <w:rPr>
          <w:strike/>
        </w:rPr>
        <w:t xml:space="preserve">(x)</w:t>
      </w:r>
      <w:r>
        <w:t xml:space="preserve">]</w:t>
      </w:r>
      <w:r xml:space="preserve">
        <w:t> </w:t>
      </w:r>
      <w:r xml:space="preserve">
        <w:t> </w:t>
      </w:r>
      <w:r>
        <w:t xml:space="preserve">a medical condition that is approved for a research program under Subchapter F, Chapter 487, Health and Safety Code, and for which the patient is receiving treatment under that program; </w:t>
      </w:r>
      <w:r>
        <w:rPr>
          <w:u w:val="single"/>
        </w:rPr>
        <w:t xml:space="preserve">or</w:t>
      </w:r>
    </w:p>
    <w:p w:rsidR="003F3435" w:rsidRDefault="0032493E">
      <w:pPr>
        <w:spacing w:line="480" w:lineRule="auto"/>
        <w:ind w:firstLine="3600"/>
        <w:jc w:val="both"/>
      </w:pPr>
      <w:r>
        <w:rPr>
          <w:u w:val="single"/>
        </w:rPr>
        <w:t xml:space="preserve">(r)</w:t>
      </w:r>
      <w:r>
        <w:rPr>
          <w:u w:val="single"/>
        </w:rPr>
        <w:t xml:space="preserve"> </w:t>
      </w:r>
      <w:r>
        <w:rPr>
          <w:u w:val="single"/>
        </w:rPr>
        <w:t xml:space="preserve"> </w:t>
      </w:r>
      <w:r>
        <w:rPr>
          <w:u w:val="single"/>
        </w:rPr>
        <w:t xml:space="preserve">a medical condition designated by the Department of State Health Services under Subsection (c);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an honorably discharged veteran who would benefit from medical use to address a medical condition;</w:t>
      </w:r>
      <w:r>
        <w:t xml:space="preserve">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for a 90-day supply of low-THC cannabis based on the dosage prescribed to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 up to four refills of a 90-day supply of low-THC cannabis.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State Health Services may designate medical conditions for which a physician may prescribe low-THC cannabis under this section. </w:t>
      </w:r>
      <w:r>
        <w:rPr>
          <w:u w:val="single"/>
        </w:rPr>
        <w:t xml:space="preserve"> </w:t>
      </w:r>
      <w:r>
        <w:rPr>
          <w:u w:val="single"/>
        </w:rPr>
        <w:t xml:space="preserve">The executive commissioner shall adopt rules for the approval of medical conditions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patient is diagnosed with a medical condition not listed in Subsection (a)(3)(A)(i), a physician may submit to the Department of State Health Services a request for the department to designate the condition as a medical condition for which a physician may prescribe low-THC cannabis under this section.  The request must be accompanied by medical evidence such as peer-reviewed published research demonstrating that low-THC cannabis may be beneficial to treat that medical condition. </w:t>
      </w:r>
      <w:r>
        <w:rPr>
          <w:u w:val="single"/>
        </w:rPr>
        <w:t xml:space="preserve"> </w:t>
      </w:r>
      <w:r>
        <w:rPr>
          <w:u w:val="single"/>
        </w:rPr>
        <w:t xml:space="preserve">The executive commissioner by rule shall prescribe the manner in which a physician may submit a request under this subsection.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169, Occupations Code, is amended by adding Section 169.0031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169.0031.</w:t>
      </w:r>
      <w:r>
        <w:rPr>
          <w:u w:val="single"/>
        </w:rPr>
        <w:t xml:space="preserve"> </w:t>
      </w:r>
      <w:r>
        <w:rPr>
          <w:u w:val="single"/>
        </w:rPr>
        <w:t xml:space="preserve"> </w:t>
      </w:r>
      <w:r>
        <w:rPr>
          <w:u w:val="single"/>
        </w:rPr>
        <w:t xml:space="preserve">PRESCRIPTION MONITORING.  (a)  For each prescription issued for low-THC cannabis under this chapter, the physician must submit prescribing information to the Texas State Board of Pharmacy to be included in the official prescription information under Section 481.076, Health and Safety Code, in the same manner as for a prescription issued under Section 481.074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submitted to the Texas State Board of Pharmacy under this section may be accessed only as provided under Section 481.076,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Pharmacy may adopt rules to implement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low-THC cannabis prescribed under Subsection (a) for pulmonary inhalation may exceed one percent by weight of tetrahydrocannabinols in each dosage unit of the substance to be aerosolized or vaporized.  The prescription under Subsection (a) must specify the amount of tetrahydrocannabinols in each dosage unit to be administered by pulmonary inhalation that is medically necessary based on the patient's condition.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medical devices for pulmonary inhalation of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reasonable timeline for reviewing and granting approval for medical devices for pulmonary inhalation.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 shall adopt the rules necessary to implement the changes in law made by this Act to Chapter 487, Health and Safety Code;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169.003, Occupations Code, as amended by this Act, and Section 169.006, Occupations Code, as added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Provided that applicants for a license to operate as a dispensing organization have met the requirements for approval provided by Subchapter C, Chapter 487, Health and Safety Code, as amended by this Act, the Department of Public Safety shall:</w:t>
      </w:r>
    </w:p>
    <w:p w:rsidR="003F3435" w:rsidRDefault="0032493E">
      <w:pPr>
        <w:spacing w:line="480" w:lineRule="auto"/>
        <w:ind w:firstLine="1440"/>
        <w:jc w:val="both"/>
      </w:pPr>
      <w:r>
        <w:t xml:space="preserve">(1)</w:t>
      </w:r>
      <w:r xml:space="preserve">
        <w:t> </w:t>
      </w:r>
      <w:r xml:space="preserve">
        <w:t> </w:t>
      </w:r>
      <w:r>
        <w:t xml:space="preserve">not later than December 1, 2025, license at least nine new dispensing organizations from applications submitted before July 1, 2025; and</w:t>
      </w:r>
    </w:p>
    <w:p w:rsidR="003F3435" w:rsidRDefault="0032493E">
      <w:pPr>
        <w:spacing w:line="480" w:lineRule="auto"/>
        <w:ind w:firstLine="1440"/>
        <w:jc w:val="both"/>
      </w:pPr>
      <w:r>
        <w:t xml:space="preserve">(2)</w:t>
      </w:r>
      <w:r xml:space="preserve">
        <w:t> </w:t>
      </w:r>
      <w:r xml:space="preserve">
        <w:t> </w:t>
      </w:r>
      <w:r>
        <w:t xml:space="preserve">not later than April 1, 2026, in addition to any licenses issued by the Department of Public Safety under Subdivision (1) of this section, license at least three new dispensing organizations from applications submitted at any time.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Not later than December 1, 2025, the Texas State Board of Pharmacy shall adopt rules to implement Section 169.0031, Occupations Code, as added by this Act.</w:t>
      </w:r>
    </w:p>
    <w:p w:rsidR="003F3435" w:rsidRDefault="0032493E">
      <w:pPr>
        <w:spacing w:line="480" w:lineRule="auto"/>
        <w:ind w:firstLine="720"/>
        <w:jc w:val="both"/>
      </w:pPr>
      <w:r>
        <w:t xml:space="preserve">(b)</w:t>
      </w:r>
      <w:r xml:space="preserve">
        <w:t> </w:t>
      </w:r>
      <w:r xml:space="preserve">
        <w:t> </w:t>
      </w:r>
      <w:r>
        <w:t xml:space="preserve">Section 169.0031, Occupations Code, as added by this Act, applies only to a prescription issued on or after January 1, 2026.</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