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46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14,</w:t>
      </w:r>
      <w:r xml:space="preserve">
        <w:t> </w:t>
      </w:r>
      <w:r>
        <w:t xml:space="preserve">2025, read first time and referred to Committee on State Affairs; May</w:t>
      </w:r>
      <w:r xml:space="preserve">
        <w:t> </w:t>
      </w:r>
      <w:r>
        <w:t xml:space="preserve">26,</w:t>
      </w:r>
      <w:r xml:space="preserve">
        <w:t> </w:t>
      </w:r>
      <w:r>
        <w:t xml:space="preserve">2025, reported adversely, with favorable Committee Substitute by the following vote:</w:t>
      </w:r>
      <w:r>
        <w:t xml:space="preserve"> </w:t>
      </w:r>
      <w:r>
        <w:t xml:space="preserve"> </w:t>
      </w:r>
      <w:r>
        <w:t xml:space="preserve">Yeas 9, Nays 0;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medical use of low-THC cannabis under and the administration of the Texas Compassionate-Use Program; requiring registration.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487.001, Health and Safety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"Owner" means any individual who, directly or indirectly, owns, actually or beneficially, any interest of a dispensing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487.053(a),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w:t>
      </w:r>
      <w:r>
        <w:rPr>
          <w:u w:val="single"/>
        </w:rPr>
        <w:t xml:space="preserve">owners,</w:t>
      </w:r>
      <w:r>
        <w:t xml:space="preserve"> </w:t>
      </w:r>
      <w:r>
        <w:t xml:space="preserve">managers, and employees of each dispensing organization.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487.101 and 487.102, Health and Safety Code, are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w:t>
      </w:r>
      <w:r xml:space="preserve">
        <w:t> </w:t>
      </w:r>
      <w:r>
        <w:t xml:space="preserve">487.102.</w:t>
      </w:r>
      <w:r xml:space="preserve">
        <w:t> </w:t>
      </w:r>
      <w:r xml:space="preserve">
        <w:t> </w:t>
      </w:r>
      <w:r>
        <w:t xml:space="preserve">ELIGIBILITY FOR LICENSE. </w:t>
      </w:r>
      <w:r>
        <w:t xml:space="preserve">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w:t>
      </w:r>
      <w:r>
        <w:rPr>
          <w:u w:val="single"/>
        </w:rPr>
        <w:t xml:space="preserve">owner,</w:t>
      </w:r>
      <w:r>
        <w:t xml:space="preserve"> </w:t>
      </w:r>
      <w:r>
        <w:t xml:space="preserve">manager, </w:t>
      </w:r>
      <w:r>
        <w:t xml:space="preserve"> </w:t>
      </w:r>
      <w:r>
        <w:t xml:space="preserve">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w:t>
      </w:r>
      <w:r>
        <w:rPr>
          <w:u w:val="single"/>
        </w:rPr>
        <w:t xml:space="preserve">owners,</w:t>
      </w:r>
      <w:r>
        <w:t xml:space="preserve"> </w:t>
      </w:r>
      <w:r>
        <w:t xml:space="preserve">managers, 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act on an application submitted under Subsection (b) not later than the 90th day after the date the application is submitted to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adopt rules regarding the design and security requirements for satellite locations.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487.104, Health and Safety Code, is amended by adding Subsections (d), (e), (f), and (g)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issue nine licenses under this section to dispensing organizations in this state provided that the department receives applications from a sufficient number of applicants meeting the requirements for approval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initial licenses to dispensing organizations under this section based on a competitive evaluation of applicant qualifications relative to other applicants.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director shall adopt rules to establish a timeline for reviewing and taking action on an application submitted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487, Health and Safety Code, is amended by adding Sections 487.1045 and 487.1046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minimum amount of dispensing activity in which a dispensing organization must engage to maintain a license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whether a dispensing organization is actively using a license issued under this subchapter to dispense low-THC cannabis and the amount of dispensing activity engaged in by the organization;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revoke the license of a dispensing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dispense low-THC cannabis within the time required by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the 24-month period following initial licensure, discontinues dispensing low-THC cannabis or fails to meet the minimum dispensing activity requirement under Subdivision (1) during the term of a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487.1046.</w:t>
      </w:r>
      <w:r>
        <w:rPr>
          <w:u w:val="single"/>
        </w:rPr>
        <w:t xml:space="preserve"> </w:t>
      </w:r>
      <w:r>
        <w:rPr>
          <w:u w:val="single"/>
        </w:rPr>
        <w:t xml:space="preserve"> </w:t>
      </w:r>
      <w:r>
        <w:rPr>
          <w:u w:val="single"/>
        </w:rPr>
        <w:t xml:space="preserve">LOCATION.  (a) </w:t>
      </w:r>
      <w:r>
        <w:rPr>
          <w:u w:val="single"/>
        </w:rPr>
        <w:t xml:space="preserve"> </w:t>
      </w:r>
      <w:r>
        <w:rPr>
          <w:u w:val="single"/>
        </w:rPr>
        <w:t xml:space="preserve">A license holder may not operate as a dispensing organization or establish a satellite location within 1,000 feet of the premises of a school that exists on the date of the approval of the license holder's initial application for licensure as a dispensing organization or approval of a satellite location, as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 "school" and "premises" have the meanings assigned by Section 481.134.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487.105(a)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w:t>
      </w:r>
      <w:r>
        <w:rPr>
          <w:u w:val="single"/>
        </w:rPr>
        <w:t xml:space="preserve">owners,</w:t>
      </w:r>
      <w:r>
        <w:t xml:space="preserve"> managers,</w:t>
      </w:r>
      <w:r>
        <w:t xml:space="preserve"> </w:t>
      </w:r>
      <w:r>
        <w:t xml:space="preserve">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  The licensee may not transfer the license to another person before that prospective applicant and the applicant's directors, </w:t>
      </w:r>
      <w:r>
        <w:rPr>
          <w:u w:val="single"/>
        </w:rPr>
        <w:t xml:space="preserve">owners,</w:t>
      </w:r>
      <w:r>
        <w:t xml:space="preserve"> managers, and employees pass a criminal history background check and are registered as required by Subchapter 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package or container that contains more than a total of one gram of tetrahydrocannabinols;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device for pulmonary inhalation that contains more than one gram of tetrahydrocannabinols.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487, Health and Safety Code, is amended by adding Section 487.1071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487.1071.</w:t>
      </w:r>
      <w:r>
        <w:rPr>
          <w:u w:val="single"/>
        </w:rPr>
        <w:t xml:space="preserve"> </w:t>
      </w:r>
      <w:r>
        <w:rPr>
          <w:u w:val="single"/>
        </w:rPr>
        <w:t xml:space="preserve"> </w:t>
      </w:r>
      <w:r>
        <w:rPr>
          <w:u w:val="single"/>
        </w:rPr>
        <w:t xml:space="preserve">CANNABINOIDS ELIGIBLE FOR DISPENSING.  (a)  In this section, "phytocannabinoid" means a chemical substance: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naturally by a plant of the species Cannabis sativa L. that is separated from the plant by a mechanical or chemical extraction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created naturally by a plant of the species Cannabis sativa L. that binds to or interacts with the cannabinoid receptors of the endocannabinoid system;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produced by decarboxylation from a naturally occurring cannabinoid acid without the use of a chemical catalyst.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may not dispense a low-THC cannabis product that contains a cannabinoid that is not a phytocannabinoid.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487.151(a),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who is a director, </w:t>
      </w:r>
      <w:r>
        <w:rPr>
          <w:u w:val="single"/>
        </w:rPr>
        <w:t xml:space="preserve">owner,</w:t>
      </w:r>
      <w:r>
        <w:t xml:space="preserve"> manager, or employee of a dispensing organization must apply for and obtain a registration under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169.001(3), (4), and (5), Occupations Code, are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10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w:t>
      </w:r>
      <w:r xml:space="preserve">
        <w:t> </w:t>
      </w:r>
      <w:r xml:space="preserve">
        <w:t>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w:t>
      </w:r>
      <w:r>
        <w:rPr>
          <w:strike/>
        </w:rPr>
        <w:t xml:space="preserve">or</w:t>
      </w:r>
      <w:r>
        <w:t xml:space="preserve">]</w:t>
      </w:r>
    </w:p>
    <w:p w:rsidR="003F3435" w:rsidRDefault="0032493E">
      <w:pPr>
        <w:spacing w:line="480" w:lineRule="auto"/>
        <w:ind w:firstLine="2880"/>
        <w:jc w:val="both"/>
      </w:pPr>
      <w:r>
        <w:t xml:space="preserve">(x)</w:t>
      </w:r>
      <w:r xml:space="preserve">
        <w:t> </w:t>
      </w:r>
      <w:r xml:space="preserve">
        <w:t> </w:t>
      </w:r>
      <w:r>
        <w:rPr>
          <w:u w:val="single"/>
        </w:rPr>
        <w:t xml:space="preserve">a terminal illness or a condition for which a patient is receiving hospice care; or</w:t>
      </w:r>
    </w:p>
    <w:p w:rsidR="003F3435" w:rsidRDefault="0032493E">
      <w:pPr>
        <w:spacing w:line="480" w:lineRule="auto"/>
        <w:ind w:firstLine="2880"/>
        <w:jc w:val="both"/>
      </w:pPr>
      <w:r>
        <w:rPr>
          <w:u w:val="single"/>
        </w:rPr>
        <w:t xml:space="preserve">(xi)</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provide for a 90-day supply of low-THC cannabis based on the dosage prescribed to the patient;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provide up to four refills of a 90-day supply of low-THC cannabis.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of the Health and Human Services Commission shall adopt rules related to medical devices for pulmonary inhalation of low-THC cannabis.</w:t>
      </w:r>
      <w:r>
        <w:t xml:space="preserve"> </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Notwithstanding Section 487.1046, Health and Safety Code, as added by this Act, a licensed dispensing organization that, on the effective date of this Act, is operating in a location that is within 1,000 feet of the premises of a school may continue to operate in that location.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April 1, 2026, the Department of Public Safety shall license at least nine dispensing organizations in accordance with Section 487.104, Health and Safety Code, as amended by this Act, including those already licensed and actively operating as of the effective date of this Act, provided at least nine applicants for a license to operate as a dispensing organization have met the requirements for approval provided by Subchapter C, Chapter 487, Health and Safety Code, as amended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Department of Public Safety shall adopt the rules necessary to implement Sections 487.1035 and 487.1045,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169.006, Occupations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