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89R14544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an organized oilfield theft prevention unit within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C-1 to read as follows:</w:t>
      </w:r>
    </w:p>
    <w:p w:rsidR="003F3435" w:rsidRDefault="0032493E">
      <w:pPr>
        <w:spacing w:line="480" w:lineRule="auto"/>
        <w:jc w:val="center"/>
      </w:pPr>
      <w:r>
        <w:rPr>
          <w:u w:val="single"/>
        </w:rPr>
        <w:t xml:space="preserve">SUBCHAPTER C-1. ORGANIZED OILFIELD THEFT PREVENTION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"Oil and gas equipment" means machinery, drilling equipment, welding equipment, pipe, fittings, pumps, vehicles, or other equipment used in the drilling or maintenance of oil and gas wells, in the production of oil and gas, or to transport petroleum products.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"Petroleum product" has the meaning assigned by Section 31.19(a),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"Unit" means the organized oilfield theft prevention unit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411.036.</w:t>
      </w:r>
      <w:r>
        <w:rPr>
          <w:u w:val="single"/>
        </w:rPr>
        <w:t xml:space="preserve"> </w:t>
      </w:r>
      <w:r>
        <w:rPr>
          <w:u w:val="single"/>
        </w:rPr>
        <w:t xml:space="preserve"> </w:t>
      </w:r>
      <w:r>
        <w:rPr>
          <w:u w:val="single"/>
        </w:rPr>
        <w:t xml:space="preserve">ORGANIZED OILFIELD THEFT PREVENTION UNIT.  (a) </w:t>
      </w:r>
      <w:r>
        <w:rPr>
          <w:u w:val="single"/>
        </w:rPr>
        <w:t xml:space="preserve"> </w:t>
      </w:r>
      <w:r>
        <w:rPr>
          <w:u w:val="single"/>
        </w:rPr>
        <w:t xml:space="preserve">The director shall create an organized oilfield theft prevention unit to be operated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shall investigate and arrest individuals determined to have committed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31.19,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31.03, Penal Code, if the unlawfully appropriated property includes oil and gas equipment.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shall coordinate with federal, state, and local law enforcement agencies, attorneys representing the state, the Railroad Commission of Texas, and any person who is a victim of an offense described by Subsection (b) as necessary to carry out the duties of the unit.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shall designate a command structure within the department to supervise the operations of the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director shall adopt rules, subject to commission approval, as necessary for the control and general administration of the unit,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governing the procurement of facilities and equipment for the unit;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regarding required training for unit personnel;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regarding working conditions of unit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411.037.</w:t>
      </w:r>
      <w:r>
        <w:rPr>
          <w:u w:val="single"/>
        </w:rPr>
        <w:t xml:space="preserve"> </w:t>
      </w:r>
      <w:r>
        <w:rPr>
          <w:u w:val="single"/>
        </w:rPr>
        <w:t xml:space="preserve"> </w:t>
      </w:r>
      <w:r>
        <w:rPr>
          <w:u w:val="single"/>
        </w:rPr>
        <w:t xml:space="preserve">JURISDICTION; HEADQUARTERS.  The unit has statewide jurisdiction but shall operate primarily within the designated region of the department that is adjacent to the international border and contains the city of El Paso.  The unit's headquarters must be located in that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411.038.</w:t>
      </w:r>
      <w:r>
        <w:rPr>
          <w:u w:val="single"/>
        </w:rPr>
        <w:t xml:space="preserve"> </w:t>
      </w:r>
      <w:r>
        <w:rPr>
          <w:u w:val="single"/>
        </w:rPr>
        <w:t xml:space="preserve"> </w:t>
      </w:r>
      <w:r>
        <w:rPr>
          <w:u w:val="single"/>
        </w:rPr>
        <w:t xml:space="preserve">UNIT DUTIES.  The unit, together with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deploy to local law enforcement agencies specialized training, resources, and policing strategies tailored to investigating and preventing offenses described by Section 411.036(b);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public outreach and awareness initiatives to educate industry professionals and communities regarding offenses described by Section 411.036(b);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a centralized database for tracking offenses described by Section 411.036(b) and related criminal enterprises.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411.039.</w:t>
      </w:r>
      <w:r>
        <w:rPr>
          <w:u w:val="single"/>
        </w:rPr>
        <w:t xml:space="preserve"> </w:t>
      </w:r>
      <w:r>
        <w:rPr>
          <w:u w:val="single"/>
        </w:rPr>
        <w:t xml:space="preserve"> </w:t>
      </w:r>
      <w:r>
        <w:rPr>
          <w:u w:val="single"/>
        </w:rPr>
        <w:t xml:space="preserve">BIENNIAL REPORT.  Not later than January 1 of each odd-numbered year, the department shall prepare and submit to the governor, the lieutenant governor, the speaker of the house of representatives, and each standing committee of the legislature with primary jurisdiction over natural resources or criminal justice matters a written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summarizes the unit's activities and evaluates the unit's effectiveness during the preceding two-year period, including by providing statistics regarding any arrests made by the unit and any prosecutions that resulted from those arrests or assets that were recovered as a result of those arrests;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recommendations for legislative or administrative action to improve the effectiveness of the unit.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2025, the public safety director of the Department of Public Safety of the State of Texas shall adopt rules necessary to implement Subchapter C-1, Chapter 411,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