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117</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the governor's task force on the governance of early childhood education and care.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D, Title 4, Government Code, is amended by adding Chapter 455 to read as follows:</w:t>
      </w:r>
    </w:p>
    <w:p w:rsidR="003F3435" w:rsidRDefault="0032493E">
      <w:pPr>
        <w:spacing w:line="480" w:lineRule="auto"/>
        <w:jc w:val="center"/>
      </w:pPr>
      <w:r>
        <w:rPr>
          <w:u w:val="single"/>
        </w:rPr>
        <w:t xml:space="preserve">CHAPTER 455.  GOVERNOR'S TASK FORCE ON GOVERNANCE OF EARLY CHILDHOOD EDUCATION AND CARE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455.001.</w:t>
      </w:r>
      <w:r>
        <w:rPr>
          <w:u w:val="single"/>
        </w:rPr>
        <w:t xml:space="preserve"> </w:t>
      </w:r>
      <w:r>
        <w:rPr>
          <w:u w:val="single"/>
        </w:rPr>
        <w:t xml:space="preserve"> </w:t>
      </w:r>
      <w:r>
        <w:rPr>
          <w:u w:val="single"/>
        </w:rPr>
        <w:t xml:space="preserve">DEFINITION.  In this chapter, "task force" means the governor's task force on the governance of early childhood education and care established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455.002.</w:t>
      </w:r>
      <w:r>
        <w:rPr>
          <w:u w:val="single"/>
        </w:rPr>
        <w:t xml:space="preserve"> </w:t>
      </w:r>
      <w:r>
        <w:rPr>
          <w:u w:val="single"/>
        </w:rPr>
        <w:t xml:space="preserve"> </w:t>
      </w:r>
      <w:r>
        <w:rPr>
          <w:u w:val="single"/>
        </w:rPr>
        <w:t xml:space="preserve">ESTABLISHMENT.  (a)  The governor's task force on the governance of early childhood education and care is established to address the governance and operational challenges of the early childhood education system in this state.</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task force is administratively attached to the Texas Education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455.003.</w:t>
      </w:r>
      <w:r>
        <w:rPr>
          <w:u w:val="single"/>
        </w:rPr>
        <w:t xml:space="preserve"> </w:t>
      </w:r>
      <w:r>
        <w:rPr>
          <w:u w:val="single"/>
        </w:rPr>
        <w:t xml:space="preserve"> </w:t>
      </w:r>
      <w:r>
        <w:rPr>
          <w:u w:val="single"/>
        </w:rPr>
        <w:t xml:space="preserve">MEMBERS.  (a)  The task force shall include a steering committee composed of the following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executive commissioner of the Health and Human Services Commission;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commissioner of the Texas Education Agency;</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chair of the Texas Workforce Commission;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relevant division directors designated by the individuals described by Subdivisions (1), (2), and (3);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Texas Education Agency's inter-agency deputy director of early childhood support.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task force is composed of the following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public school teacher certified to teach prekindergarten;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certified teacher who is employed by a private child-care facility or prekindergarten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representative from the Texas Head Start State Collaboration Office appointed by the governor;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representative from the Department of State Health Services appointed by the governor;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two representatives from the Texas Early Learning Council designated by the steering committee described by Subsection (a);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at least two but not more than five individuals with knowledge of early childhood education and care or experience as a direct operator of an early childhood education and care program, including business and community leaders, representatives of nonprofit organizations, and other relevant stakeholders, appointed by the governor.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shall appoint the chair of the task force.</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Chapter 2110 does not apply to the size, composition, or duration of the task force.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455.004.</w:t>
      </w:r>
      <w:r>
        <w:rPr>
          <w:u w:val="single"/>
        </w:rPr>
        <w:t xml:space="preserve"> </w:t>
      </w:r>
      <w:r>
        <w:rPr>
          <w:u w:val="single"/>
        </w:rPr>
        <w:t xml:space="preserve"> </w:t>
      </w:r>
      <w:r>
        <w:rPr>
          <w:u w:val="single"/>
        </w:rPr>
        <w:t xml:space="preserve">POWERS AND DUTIES.  (a)  The task force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examine governance and operational challenges in the early childhood education and care system, including federal and local child-care programs and regulations governing those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and recommend standards for high quality prekindergarten programs, including programs under Subchapter E-1, Chapter 29, Education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with a focus on improving government efficiency, conduct a comprehensive review of the existing functions and responsibilities of the Health and Human Services Commission, Texas Education Agency, and Texas Workforce Commission related to early childhood education and care;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consider methods for a large-scale redesign of the administration of early childhood programs to improve efficiency, service delivery, quality of care, and the efficient use of funding.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steering committee of the task force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align goals and metrics of the Health and Human Services Commission, Texas Education Agency, and Texas Workforce Commission to measure progress, including aligning statewide data systems;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the Health and Human Services Commission, Texas Education Agency, and Texas Workforce Commission to complete and submit to the task force periodic progress reports and regularly refine statewide goals and strategic plans to ensure alignment with evolving early childhood education and care needs.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From money appropriated or otherwise available for the purpose, the Texas Education Agency shall pay the costs of data system integration, research, and administration for the task force.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455.005.</w:t>
      </w:r>
      <w:r>
        <w:rPr>
          <w:u w:val="single"/>
        </w:rPr>
        <w:t xml:space="preserve"> </w:t>
      </w:r>
      <w:r>
        <w:rPr>
          <w:u w:val="single"/>
        </w:rPr>
        <w:t xml:space="preserve"> </w:t>
      </w:r>
      <w:r>
        <w:rPr>
          <w:u w:val="single"/>
        </w:rPr>
        <w:t xml:space="preserve">REPORT. </w:t>
      </w:r>
      <w:r>
        <w:rPr>
          <w:u w:val="single"/>
        </w:rPr>
        <w:t xml:space="preserve"> </w:t>
      </w:r>
      <w:r>
        <w:rPr>
          <w:u w:val="single"/>
        </w:rPr>
        <w:t xml:space="preserve">Not later than December 1, 2026, the task force shall develop and submit to the legislature policy and budget recommendations designed to improve early childhood education and care governance that will: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facilitate and improve early childhood education and care participant engagement with state agencies;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lead to improved operational efficiency, increased affordable child care capacity, and improved kindergarten readiness.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455.006.</w:t>
      </w:r>
      <w:r>
        <w:rPr>
          <w:u w:val="single"/>
        </w:rPr>
        <w:t xml:space="preserve"> </w:t>
      </w:r>
      <w:r>
        <w:rPr>
          <w:u w:val="single"/>
        </w:rPr>
        <w:t xml:space="preserve"> </w:t>
      </w:r>
      <w:r>
        <w:rPr>
          <w:u w:val="single"/>
        </w:rPr>
        <w:t xml:space="preserve">EXPIRATION.  The task force is abolished and this chapter expires September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An entity to which Chapter 455, Government Code, as added by this Act, applies is required to implement a provision of this Act only if the legislature appropriates money specifically for that purpose. </w:t>
      </w:r>
      <w:r>
        <w:t xml:space="preserve"> </w:t>
      </w:r>
      <w:r>
        <w:t xml:space="preserve">If the legislature does not appropriate money specifically for that purpose, an entity may, but is not required to, implement a provision of this Act using other money available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117 was passed by the House on April 17, 2025, by the following vote:</w:t>
      </w:r>
      <w:r xml:space="preserve">
        <w:t> </w:t>
      </w:r>
      <w:r xml:space="preserve">
        <w:t> </w:t>
      </w:r>
      <w:r>
        <w:t xml:space="preserve">Yeas 103, Nays 40, 2 present, not voting; and that the House concurred in Senate amendments to H.B. No. 117 on May 30, 2025, by the following vote:</w:t>
      </w:r>
      <w:r xml:space="preserve">
        <w:t> </w:t>
      </w:r>
      <w:r xml:space="preserve">
        <w:t> </w:t>
      </w:r>
      <w:r>
        <w:t xml:space="preserve">Yeas 110, Nays 23,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117 was passed by the Senate, with amendments, on May 28, 2025, by the following vote:</w:t>
      </w:r>
      <w:r xml:space="preserve">
        <w:t> </w:t>
      </w:r>
      <w:r xml:space="preserve">
        <w:t> </w:t>
      </w:r>
      <w:r>
        <w:t xml:space="preserve">Yeas 25, Nays 6.</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