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119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1,</w:t>
      </w:r>
      <w:r xml:space="preserve">
        <w:t> </w:t>
      </w:r>
      <w:r>
        <w:t xml:space="preserve">2025, read first time and referred to Committee on State Affairs;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9,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119</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lobbyist registration requirements to persons engaged in certain foreign transactions or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agency or entity under the control of a country described by Subparagraph (i);</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person wholly or partly owned or operated by or subject to the control of a country described by Subparagraph (i);</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subsidiary or parent of a person described by Subparagraph (iii);</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person organized under the laws of or that</w:t>
      </w:r>
      <w:r>
        <w:rPr>
          <w:u w:val="single"/>
        </w:rPr>
        <w:t xml:space="preserve"> </w:t>
      </w:r>
      <w:r>
        <w:rPr>
          <w:u w:val="single"/>
        </w:rPr>
        <w:t xml:space="preserve">has its principal place of business in a country described by Subparagraph (i);</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subsidiary of a person described by Subparagraph (v);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 foreign government, corporation, business, or other entity designated by the governor;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corporation, business, or other entity that is not designated by the governor under Paragraph (A)(vii) and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publicly traded in the United States on a national securities exchange;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commission an attestation that each covered transaction to which the entity is a party has been reviewed and approved by the Committee on Foreign Investment in the United States under 50 U.S.C. Section 4565.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other than a corporation, business, or other entity described by Subdivision (2)(B);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