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89R14985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career and technology education programs in public schools, the Rural Pathway Excellence Partnership (R-PEP) program, and a high school advising program, including funding for those programs under the Foundation School Program, and to the new instructional facility allotment and the permissible uses of funding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29, Education Code, is amended by adding Section 29.9016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29.9016.</w:t>
      </w:r>
      <w:r>
        <w:rPr>
          <w:u w:val="single"/>
        </w:rPr>
        <w:t xml:space="preserve"> </w:t>
      </w:r>
      <w:r>
        <w:rPr>
          <w:u w:val="single"/>
        </w:rPr>
        <w:t xml:space="preserve"> </w:t>
      </w:r>
      <w:r>
        <w:rPr>
          <w:u w:val="single"/>
        </w:rPr>
        <w:t xml:space="preserve">MILITARY PATHWAY GRANT PROGRAM.  (a) </w:t>
      </w:r>
      <w:r>
        <w:rPr>
          <w:u w:val="single"/>
        </w:rPr>
        <w:t xml:space="preserve"> </w:t>
      </w:r>
      <w:r>
        <w:rPr>
          <w:u w:val="single"/>
        </w:rPr>
        <w:t xml:space="preserve">The agency shall establish a grant program to provide money to school districts to implement a program under which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Junior Reserve Officers' Training Corps program under 10 U.S.C. Section 2031 for students enrolled in high school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administers the Armed Services Vocational Aptitude Battery test to each student participating in the program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career counseling at least once per year to each student administered the Armed Services Vocational Aptitude Battery test under Subdivision (2) based on the results of the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each grant awarded under the grant program is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grant program for a school year may not exceed $2 million.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29.912, Education Code, is amended by adding Subsection (c-1) and amending Subsections (e) and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(e)</w:t>
      </w:r>
      <w:r xml:space="preserve">
        <w:t> </w:t>
      </w:r>
      <w:r xml:space="preserve">
        <w:t> </w:t>
      </w:r>
      <w: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 </w:t>
      </w:r>
      <w:r>
        <w:t xml:space="preserve"> </w:t>
      </w:r>
      <w:r>
        <w:t xml:space="preserve">[</w:t>
      </w:r>
      <w:r>
        <w:rPr>
          <w:strike/>
        </w:rPr>
        <w:t xml:space="preserve">An employee is eligible for membership under this subsection if a partnership would be authorized to participate in the program, as determined by the commissioner, but for the maximum expenditure established in Section 48.118(f).</w:t>
      </w:r>
      <w:r>
        <w:t xml:space="preserve">]</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29, Education Code, is amended by adding Section 29.939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29.939.</w:t>
      </w:r>
      <w:r>
        <w:rPr>
          <w:u w:val="single"/>
        </w:rPr>
        <w:t xml:space="preserve"> </w:t>
      </w:r>
      <w:r>
        <w:rPr>
          <w:u w:val="single"/>
        </w:rPr>
        <w:t xml:space="preserve"> </w:t>
      </w:r>
      <w:r>
        <w:rPr>
          <w:u w:val="single"/>
        </w:rPr>
        <w:t xml:space="preserve">HIGH SCHOOL ADVISING PROGRAM.  (a) </w:t>
      </w:r>
      <w:r>
        <w:rPr>
          <w:u w:val="single"/>
        </w:rPr>
        <w:t xml:space="preserve"> </w:t>
      </w:r>
      <w:r>
        <w:rPr>
          <w:u w:val="single"/>
        </w:rPr>
        <w:t xml:space="preserve">The agency shall establish a high school advising program through which participating school districts and open-enrollment charter schools provide college or career advising supports to students, either by hiring employees or contracting with service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participating in the program must have at least one partnership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or school provides college advisors, a public institution of higher education to support students to transition successfully from high school graduation to college enrollment, persistence, and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provides career advisors: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vocational program at a public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workforce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 under the program must be trained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practices relating to college advising to serve as a college advisor;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relating to career advising to serve as a career advisor.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full-time equivalent advisor under the program may not have a caseload of more than 200 students and must prioritize students in grade levels 11 and 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the commissioner shall consult with the Texas Workforce Commission and the Texas Higher Education Coordinating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48, Education Code, is amended by adding Sections 48.0035 and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w:t>
      </w:r>
      <w:r>
        <w:rPr>
          <w:u w:val="single"/>
        </w:rPr>
        <w:t xml:space="preserve"> </w:t>
      </w:r>
      <w:r>
        <w:rPr>
          <w:u w:val="single"/>
        </w:rPr>
        <w:t xml:space="preserve">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48.106,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w:t>
      </w:r>
      <w:r>
        <w:rPr>
          <w:u w:val="single"/>
        </w:rPr>
        <w:t xml:space="preserve">$150</w:t>
      </w:r>
      <w:r>
        <w:t xml:space="preserve"> [</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district is entitled to funding under Subsection (a-1) for a student who has graduated from high school but is enrolled in the district in a program offered under Subchapter N, Chapter 29, through which the student may earn dual credit.  The district is not entitled to any other funding under this chapter for a student described by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48.118, Education Code, is amended by amending Subsection (a) and adding Subsections (a-1) and (g)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daily attendance in grades 9 through 12 in a college or career pathway offered through a partnership under the Rural Pathway Excellence Partnership (R-PEP) program under Section 29.912 </w:t>
      </w:r>
      <w:r>
        <w:rPr>
          <w:u w:val="single"/>
        </w:rPr>
        <w:t xml:space="preserve">who meets the requirements under Subsection (g)</w:t>
      </w:r>
      <w:r>
        <w:t xml:space="preserve">,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be eligible for funding under this section, a partnership under the Rural Pathway Excellence Partnership (R-PEP) program under Section 29.912 must offer at least one of the following programs of study through in-person instruction, remote instruction, or a hybrid of in-person and remote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computer programming and software development;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specialized skilled trade,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aviation maintenance;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applied agricultural engineering.</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48, Education Code, is amended by adding Section 48.162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48.162.</w:t>
      </w:r>
      <w:r>
        <w:rPr>
          <w:u w:val="single"/>
        </w:rPr>
        <w:t xml:space="preserve"> </w:t>
      </w:r>
      <w:r>
        <w:rPr>
          <w:u w:val="single"/>
        </w:rPr>
        <w:t xml:space="preserve"> </w:t>
      </w:r>
      <w:r>
        <w:rPr>
          <w:u w:val="single"/>
        </w:rPr>
        <w:t xml:space="preserve">HIGH SCHOOL ADVISING ALLOTMENT.  (a) </w:t>
      </w:r>
      <w:r>
        <w:rPr>
          <w:u w:val="single"/>
        </w:rPr>
        <w:t xml:space="preserve"> </w:t>
      </w:r>
      <w:r>
        <w:rPr>
          <w:u w:val="single"/>
        </w:rPr>
        <w:t xml:space="preserve">Subject to Subsections (b) and (c), for each full-time equivalent advisor or contracted service provider under the high school advising program established under Section 29.939, a school district is entitled to $50,000.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advisors for whom a school district may receive an allotment under this section may not exceed the quotient of, rounded up to the nearest whole number: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students enrolled in the district in grade levels 11 and 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with the fifth school year for which a school district receives an allotment under this section, the commissioner shall reduce the district's allotment by 20 percent for each school year unless the district's performance under Section 48.110 for the preceding school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the average of the district's performance under that section for the two school years preceding that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in the top 25 percent of statewide performance under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that at least 40 percent of the district's educationally disadvantaged annual graduates demonstrated college, career, or military readiness as described by Section 48.110(f).</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29.912(h) and 48.118(b), (c), (d), and (f), Education Code,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29.9016 and 29.939, Education Code, as added by this Act, and Section 29.912, Education Code, as amended by this Act, apply beginning with the 2025-2026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Except as provided by Subsection (b) or (c)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by this Act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 48.118(a), Education Code, as amended by this Act, and Section 48.118(g), Education Code, as added by this Act, take effect September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