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89R20920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Bonnen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124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124: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school safety allotment under the Foundation School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48.115, Education Code, is amended by amending Subsection (a) and adding Subsection (c-2)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(a-1), a school district is entitled to an annual allotment equal to the sum of the following amounts or a greater amount provided by appropriation: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$14</w:t>
      </w:r>
      <w:r>
        <w:t xml:space="preserve"> [</w:t>
      </w:r>
      <w:r>
        <w:rPr>
          <w:strike/>
        </w:rPr>
        <w:t xml:space="preserve">$10</w:t>
      </w:r>
      <w:r>
        <w:t xml:space="preserve">] for each student in average daily attendance, plus $1 for each student in average daily attendance per every $50 by which the district's maximum basic allotment under Section 48.051 exceeds $6,160, prorated as necessary;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$37,000</w:t>
      </w:r>
      <w:r>
        <w:t xml:space="preserve"> [</w:t>
      </w:r>
      <w:r>
        <w:rPr>
          <w:strike/>
        </w:rPr>
        <w:t xml:space="preserve">$15,000</w:t>
      </w:r>
      <w:r>
        <w:t xml:space="preserve">] per campus.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December 1 of each year, each school district shall submit to the agency a report accounting for the expenditure of funds received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